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E2302">
      <w:pPr>
        <w:jc w:val="center"/>
        <w:rPr>
          <w:rFonts w:ascii="宋体" w:hAnsi="宋体"/>
          <w:b/>
          <w:color w:val="auto"/>
          <w:sz w:val="72"/>
          <w:highlight w:val="none"/>
        </w:rPr>
      </w:pPr>
      <w:r>
        <w:rPr>
          <w:rFonts w:hint="eastAsia" w:ascii="宋体" w:hAnsi="宋体"/>
          <w:b/>
          <w:color w:val="auto"/>
          <w:sz w:val="72"/>
          <w:highlight w:val="none"/>
        </w:rPr>
        <w:t xml:space="preserve">厦 门 市 大 宗 货 物    </w:t>
      </w:r>
    </w:p>
    <w:p w14:paraId="29018723">
      <w:pPr>
        <w:jc w:val="center"/>
        <w:rPr>
          <w:rFonts w:ascii="宋体" w:hAnsi="宋体"/>
          <w:b/>
          <w:color w:val="auto"/>
          <w:sz w:val="72"/>
          <w:highlight w:val="none"/>
        </w:rPr>
      </w:pPr>
      <w:r>
        <w:rPr>
          <w:rFonts w:hint="eastAsia" w:ascii="宋体" w:hAnsi="宋体"/>
          <w:b/>
          <w:color w:val="auto"/>
          <w:sz w:val="72"/>
          <w:highlight w:val="none"/>
        </w:rPr>
        <w:t xml:space="preserve">政 府 采 购 项 目 </w:t>
      </w:r>
    </w:p>
    <w:p w14:paraId="53C7292F">
      <w:pPr>
        <w:spacing w:line="360" w:lineRule="auto"/>
        <w:jc w:val="center"/>
        <w:rPr>
          <w:rFonts w:ascii="宋体" w:hAnsi="宋体"/>
          <w:b/>
          <w:color w:val="auto"/>
          <w:sz w:val="72"/>
          <w:highlight w:val="none"/>
        </w:rPr>
      </w:pPr>
      <w:r>
        <w:rPr>
          <w:rFonts w:hint="eastAsia" w:ascii="宋体" w:hAnsi="宋体"/>
          <w:b/>
          <w:color w:val="auto"/>
          <w:sz w:val="72"/>
          <w:highlight w:val="none"/>
        </w:rPr>
        <w:t>招   标   文   件</w:t>
      </w:r>
    </w:p>
    <w:p w14:paraId="5296DC5A">
      <w:pPr>
        <w:spacing w:line="360" w:lineRule="auto"/>
        <w:ind w:firstLine="1438" w:firstLineChars="398"/>
        <w:rPr>
          <w:rFonts w:ascii="宋体" w:hAnsi="宋体"/>
          <w:b/>
          <w:color w:val="auto"/>
          <w:sz w:val="36"/>
          <w:highlight w:val="none"/>
        </w:rPr>
      </w:pPr>
      <w:r>
        <w:rPr>
          <w:rFonts w:hint="eastAsia" w:ascii="宋体" w:hAnsi="宋体"/>
          <w:b/>
          <w:color w:val="auto"/>
          <w:sz w:val="36"/>
          <w:highlight w:val="none"/>
        </w:rPr>
        <w:t xml:space="preserve">  </w:t>
      </w:r>
    </w:p>
    <w:p w14:paraId="4D14CE41">
      <w:pPr>
        <w:spacing w:line="360" w:lineRule="auto"/>
        <w:ind w:firstLine="1438" w:firstLineChars="398"/>
        <w:rPr>
          <w:rFonts w:ascii="宋体" w:hAnsi="宋体"/>
          <w:b/>
          <w:color w:val="auto"/>
          <w:sz w:val="36"/>
          <w:highlight w:val="none"/>
        </w:rPr>
      </w:pPr>
    </w:p>
    <w:p w14:paraId="7E351BF7">
      <w:pPr>
        <w:spacing w:line="360" w:lineRule="auto"/>
        <w:ind w:firstLine="1438" w:firstLineChars="398"/>
        <w:rPr>
          <w:rFonts w:ascii="宋体" w:hAnsi="宋体"/>
          <w:b/>
          <w:color w:val="auto"/>
          <w:sz w:val="36"/>
          <w:highlight w:val="none"/>
        </w:rPr>
      </w:pPr>
    </w:p>
    <w:p w14:paraId="380A9400">
      <w:pPr>
        <w:spacing w:line="360" w:lineRule="auto"/>
        <w:ind w:firstLine="1438" w:firstLineChars="398"/>
        <w:rPr>
          <w:rFonts w:ascii="宋体" w:hAnsi="宋体"/>
          <w:b/>
          <w:color w:val="auto"/>
          <w:sz w:val="36"/>
          <w:highlight w:val="none"/>
        </w:rPr>
      </w:pPr>
    </w:p>
    <w:p w14:paraId="1B942E23">
      <w:pPr>
        <w:spacing w:line="360" w:lineRule="auto"/>
        <w:ind w:firstLine="1438" w:firstLineChars="398"/>
        <w:rPr>
          <w:rFonts w:ascii="宋体" w:hAnsi="宋体"/>
          <w:b/>
          <w:color w:val="auto"/>
          <w:sz w:val="36"/>
          <w:highlight w:val="none"/>
          <w:u w:val="single"/>
        </w:rPr>
      </w:pPr>
      <w:r>
        <w:rPr>
          <w:rFonts w:hint="eastAsia" w:ascii="宋体" w:hAnsi="宋体"/>
          <w:b/>
          <w:color w:val="auto"/>
          <w:sz w:val="36"/>
          <w:highlight w:val="none"/>
        </w:rPr>
        <w:t>招 标 编 号：</w:t>
      </w:r>
      <w:r>
        <w:rPr>
          <w:rFonts w:hint="eastAsia" w:ascii="宋体" w:hAnsi="宋体"/>
          <w:b/>
          <w:color w:val="auto"/>
          <w:sz w:val="36"/>
          <w:highlight w:val="none"/>
          <w:u w:val="single"/>
        </w:rPr>
        <w:t>XM2024-DZ0046</w:t>
      </w:r>
    </w:p>
    <w:p w14:paraId="4099D98A">
      <w:pPr>
        <w:spacing w:line="360" w:lineRule="auto"/>
        <w:ind w:left="3948" w:leftChars="684" w:hanging="2512" w:hangingChars="695"/>
        <w:rPr>
          <w:rFonts w:ascii="宋体" w:hAnsi="宋体"/>
          <w:b/>
          <w:color w:val="auto"/>
          <w:sz w:val="36"/>
          <w:highlight w:val="none"/>
          <w:u w:val="single"/>
        </w:rPr>
      </w:pPr>
      <w:r>
        <w:rPr>
          <w:rFonts w:hint="eastAsia" w:ascii="宋体" w:hAnsi="宋体"/>
          <w:b/>
          <w:color w:val="auto"/>
          <w:sz w:val="36"/>
          <w:highlight w:val="none"/>
        </w:rPr>
        <w:t>项 目 名 称：2024年度大宗高拍仪采购</w:t>
      </w:r>
    </w:p>
    <w:p w14:paraId="7BFA36D2">
      <w:pPr>
        <w:spacing w:line="360" w:lineRule="auto"/>
        <w:ind w:firstLine="1438" w:firstLineChars="398"/>
        <w:rPr>
          <w:rFonts w:ascii="宋体" w:hAnsi="宋体"/>
          <w:b/>
          <w:color w:val="auto"/>
          <w:sz w:val="36"/>
          <w:highlight w:val="none"/>
        </w:rPr>
      </w:pPr>
    </w:p>
    <w:p w14:paraId="49AB45BB">
      <w:pPr>
        <w:spacing w:line="360" w:lineRule="auto"/>
        <w:ind w:firstLine="1438" w:firstLineChars="398"/>
        <w:rPr>
          <w:rFonts w:ascii="宋体" w:hAnsi="宋体"/>
          <w:b/>
          <w:color w:val="auto"/>
          <w:sz w:val="36"/>
          <w:highlight w:val="none"/>
        </w:rPr>
      </w:pPr>
    </w:p>
    <w:p w14:paraId="5D2658D4">
      <w:pPr>
        <w:spacing w:line="360" w:lineRule="auto"/>
        <w:ind w:firstLine="1438" w:firstLineChars="398"/>
        <w:rPr>
          <w:rFonts w:ascii="宋体" w:hAnsi="宋体"/>
          <w:b/>
          <w:color w:val="auto"/>
          <w:sz w:val="36"/>
          <w:highlight w:val="none"/>
        </w:rPr>
      </w:pPr>
    </w:p>
    <w:p w14:paraId="64EAC7BC">
      <w:pPr>
        <w:spacing w:line="360" w:lineRule="auto"/>
        <w:ind w:firstLine="1438" w:firstLineChars="398"/>
        <w:rPr>
          <w:rFonts w:ascii="宋体" w:hAnsi="宋体"/>
          <w:b/>
          <w:color w:val="auto"/>
          <w:sz w:val="36"/>
          <w:highlight w:val="none"/>
        </w:rPr>
      </w:pPr>
    </w:p>
    <w:p w14:paraId="20406EE2">
      <w:pPr>
        <w:spacing w:line="360" w:lineRule="auto"/>
        <w:ind w:firstLine="1438" w:firstLineChars="398"/>
        <w:rPr>
          <w:rFonts w:ascii="宋体" w:hAnsi="宋体"/>
          <w:b/>
          <w:color w:val="auto"/>
          <w:sz w:val="36"/>
          <w:highlight w:val="none"/>
        </w:rPr>
      </w:pPr>
    </w:p>
    <w:p w14:paraId="2D752F50">
      <w:pPr>
        <w:pStyle w:val="6"/>
        <w:spacing w:line="360" w:lineRule="auto"/>
        <w:ind w:firstLine="1438" w:firstLineChars="398"/>
        <w:jc w:val="left"/>
        <w:rPr>
          <w:rFonts w:hAnsi="宋体"/>
          <w:b/>
          <w:color w:val="auto"/>
          <w:spacing w:val="20"/>
          <w:sz w:val="32"/>
          <w:highlight w:val="none"/>
        </w:rPr>
      </w:pPr>
    </w:p>
    <w:p w14:paraId="338E34F1">
      <w:pPr>
        <w:pStyle w:val="6"/>
        <w:spacing w:line="360" w:lineRule="auto"/>
        <w:ind w:firstLine="1438" w:firstLineChars="398"/>
        <w:jc w:val="left"/>
        <w:rPr>
          <w:rFonts w:hAnsi="宋体"/>
          <w:b/>
          <w:color w:val="auto"/>
          <w:spacing w:val="20"/>
          <w:sz w:val="32"/>
          <w:highlight w:val="none"/>
        </w:rPr>
      </w:pPr>
      <w:r>
        <w:rPr>
          <w:rFonts w:hint="eastAsia" w:hAnsi="宋体"/>
          <w:b/>
          <w:color w:val="auto"/>
          <w:spacing w:val="20"/>
          <w:sz w:val="32"/>
          <w:highlight w:val="none"/>
        </w:rPr>
        <w:t>使用单位：厦门市政府机关事业单位和福建</w:t>
      </w:r>
    </w:p>
    <w:p w14:paraId="5061E1D6">
      <w:pPr>
        <w:pStyle w:val="6"/>
        <w:spacing w:line="360" w:lineRule="auto"/>
        <w:ind w:firstLine="1438" w:firstLineChars="398"/>
        <w:jc w:val="left"/>
        <w:rPr>
          <w:rFonts w:hAnsi="宋体"/>
          <w:b/>
          <w:bCs/>
          <w:color w:val="auto"/>
          <w:sz w:val="32"/>
          <w:highlight w:val="none"/>
          <w:u w:val="single"/>
        </w:rPr>
      </w:pPr>
      <w:r>
        <w:rPr>
          <w:rFonts w:hint="eastAsia" w:hAnsi="宋体"/>
          <w:b/>
          <w:color w:val="auto"/>
          <w:spacing w:val="20"/>
          <w:sz w:val="32"/>
          <w:highlight w:val="none"/>
        </w:rPr>
        <w:t>省内其他终端用户</w:t>
      </w:r>
    </w:p>
    <w:p w14:paraId="25366875">
      <w:pPr>
        <w:pStyle w:val="6"/>
        <w:spacing w:line="360" w:lineRule="auto"/>
        <w:ind w:firstLine="1438" w:firstLineChars="398"/>
        <w:jc w:val="left"/>
        <w:rPr>
          <w:rFonts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4D31D94A">
      <w:pPr>
        <w:pStyle w:val="6"/>
        <w:spacing w:line="360" w:lineRule="auto"/>
        <w:ind w:firstLine="1438" w:firstLineChars="398"/>
        <w:jc w:val="left"/>
        <w:rPr>
          <w:rFonts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厦门万翔招标有限公司</w:t>
      </w:r>
      <w:r>
        <w:rPr>
          <w:rFonts w:hint="eastAsia" w:hAnsi="宋体"/>
          <w:b/>
          <w:color w:val="auto"/>
          <w:spacing w:val="20"/>
          <w:sz w:val="32"/>
          <w:highlight w:val="none"/>
        </w:rPr>
        <w:t xml:space="preserve"> </w:t>
      </w:r>
    </w:p>
    <w:p w14:paraId="2EF0E8B5">
      <w:pPr>
        <w:spacing w:line="360" w:lineRule="auto"/>
        <w:ind w:firstLine="1438" w:firstLineChars="398"/>
        <w:rPr>
          <w:rFonts w:ascii="宋体" w:hAnsi="宋体"/>
          <w:b/>
          <w:color w:val="auto"/>
          <w:sz w:val="36"/>
          <w:highlight w:val="none"/>
        </w:rPr>
      </w:pPr>
    </w:p>
    <w:p w14:paraId="4F00B1FF">
      <w:pPr>
        <w:pStyle w:val="6"/>
        <w:spacing w:line="360" w:lineRule="auto"/>
        <w:jc w:val="center"/>
        <w:outlineLvl w:val="0"/>
        <w:rPr>
          <w:rFonts w:hAnsi="宋体"/>
          <w:b/>
          <w:color w:val="auto"/>
          <w:sz w:val="32"/>
          <w:highlight w:val="none"/>
        </w:rPr>
      </w:pPr>
      <w:r>
        <w:rPr>
          <w:rFonts w:hint="eastAsia" w:hAnsi="宋体"/>
          <w:b/>
          <w:color w:val="auto"/>
          <w:sz w:val="32"/>
          <w:highlight w:val="none"/>
        </w:rPr>
        <w:t>2024年</w:t>
      </w:r>
    </w:p>
    <w:p w14:paraId="7B7B828D">
      <w:pPr>
        <w:pStyle w:val="6"/>
        <w:spacing w:line="360" w:lineRule="auto"/>
        <w:outlineLvl w:val="0"/>
        <w:rPr>
          <w:rFonts w:hAnsi="宋体"/>
          <w:b/>
          <w:color w:val="auto"/>
          <w:sz w:val="32"/>
          <w:highlight w:val="none"/>
        </w:rPr>
      </w:pPr>
    </w:p>
    <w:p w14:paraId="34119354">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关于政府采购信用贷款的提示</w:t>
      </w:r>
    </w:p>
    <w:p w14:paraId="10165045">
      <w:pPr>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（201608版）</w:t>
      </w:r>
    </w:p>
    <w:p w14:paraId="16308557">
      <w:pPr>
        <w:rPr>
          <w:rFonts w:ascii="宋体" w:hAnsi="宋体" w:cs="宋体"/>
          <w:color w:val="auto"/>
          <w:sz w:val="24"/>
          <w:szCs w:val="24"/>
          <w:highlight w:val="none"/>
        </w:rPr>
      </w:pPr>
    </w:p>
    <w:p w14:paraId="7A6A220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4EA9E002">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 xml:space="preserve">有关金融机构联系方式： </w:t>
      </w:r>
    </w:p>
    <w:p w14:paraId="7E3A9DA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（一）中国建设银行厦门分行：</w:t>
      </w:r>
    </w:p>
    <w:p w14:paraId="75E29599">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 xml:space="preserve">联系人：魏慧媛   2158595 </w:t>
      </w:r>
    </w:p>
    <w:p w14:paraId="106A7DF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（二）中国光大银行厦门分行：</w:t>
      </w:r>
    </w:p>
    <w:p w14:paraId="38223CFC">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联系人：陈  虹   2283776、13806013400；朱姗姗   2991131、18050082825</w:t>
      </w:r>
    </w:p>
    <w:p w14:paraId="2E0913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（三）兴业银行厦门分行</w:t>
      </w:r>
    </w:p>
    <w:p w14:paraId="60BB87E7">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 xml:space="preserve">联系人：陈小姐  0592-5312509 13599531245 ；高经理  0592-5312350 13850017508 </w:t>
      </w:r>
    </w:p>
    <w:p w14:paraId="6E9EC34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（四）厦门市担保有限公司：</w:t>
      </w:r>
    </w:p>
    <w:p w14:paraId="2945F032">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联系人：陈文辉   5125116；吴龙辉   5120019</w:t>
      </w:r>
    </w:p>
    <w:p w14:paraId="3457C8F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（五）</w:t>
      </w:r>
      <w:r>
        <w:rPr>
          <w:rFonts w:hint="eastAsia" w:ascii="宋体" w:hAnsi="宋体" w:cs="宋体"/>
          <w:color w:val="auto"/>
          <w:sz w:val="24"/>
          <w:szCs w:val="24"/>
          <w:highlight w:val="none"/>
        </w:rPr>
        <w:t xml:space="preserve">厦门银行股份有限公司 </w:t>
      </w:r>
    </w:p>
    <w:p w14:paraId="3342F74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联系人：张冬梅 13395990009 ；陈韵 13656021986</w:t>
      </w:r>
    </w:p>
    <w:p w14:paraId="4C7F3D6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4AAF7CB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本提示仅作为信息告知，具体贷款事宜以银行等有关金融机构审批为准。</w:t>
      </w:r>
    </w:p>
    <w:p w14:paraId="557A6FB1">
      <w:pPr>
        <w:spacing w:line="360" w:lineRule="auto"/>
        <w:ind w:firstLine="480" w:firstLineChars="200"/>
        <w:rPr>
          <w:rFonts w:ascii="宋体" w:hAnsi="宋体" w:cs="宋体"/>
          <w:color w:val="auto"/>
          <w:sz w:val="24"/>
          <w:szCs w:val="24"/>
          <w:highlight w:val="none"/>
        </w:rPr>
      </w:pPr>
    </w:p>
    <w:p w14:paraId="14E70E76">
      <w:pPr>
        <w:spacing w:line="360" w:lineRule="auto"/>
        <w:ind w:firstLine="480" w:firstLineChars="200"/>
        <w:rPr>
          <w:rFonts w:ascii="宋体" w:hAnsi="宋体" w:cs="宋体"/>
          <w:color w:val="auto"/>
          <w:sz w:val="24"/>
          <w:szCs w:val="24"/>
          <w:highlight w:val="none"/>
        </w:rPr>
      </w:pPr>
    </w:p>
    <w:p w14:paraId="763CF982">
      <w:pPr>
        <w:spacing w:line="360" w:lineRule="auto"/>
        <w:ind w:firstLine="480" w:firstLineChars="200"/>
        <w:rPr>
          <w:rFonts w:ascii="宋体" w:hAnsi="宋体" w:cs="宋体"/>
          <w:color w:val="auto"/>
          <w:sz w:val="24"/>
          <w:szCs w:val="24"/>
          <w:highlight w:val="none"/>
        </w:rPr>
      </w:pPr>
    </w:p>
    <w:p w14:paraId="77813414">
      <w:pPr>
        <w:spacing w:line="360" w:lineRule="auto"/>
        <w:ind w:firstLine="480" w:firstLineChars="200"/>
        <w:rPr>
          <w:rFonts w:ascii="宋体" w:hAnsi="宋体" w:cs="宋体"/>
          <w:color w:val="auto"/>
          <w:sz w:val="24"/>
          <w:szCs w:val="24"/>
          <w:highlight w:val="none"/>
        </w:rPr>
      </w:pPr>
    </w:p>
    <w:p w14:paraId="3A9567C4">
      <w:pPr>
        <w:spacing w:line="360" w:lineRule="auto"/>
        <w:rPr>
          <w:rFonts w:ascii="宋体" w:hAnsi="宋体" w:cs="宋体"/>
          <w:color w:val="auto"/>
          <w:sz w:val="24"/>
          <w:szCs w:val="24"/>
          <w:highlight w:val="none"/>
        </w:rPr>
      </w:pPr>
    </w:p>
    <w:p w14:paraId="57C90F15">
      <w:pPr>
        <w:pStyle w:val="6"/>
        <w:spacing w:line="360" w:lineRule="auto"/>
        <w:jc w:val="center"/>
        <w:outlineLvl w:val="0"/>
        <w:rPr>
          <w:rFonts w:hAnsi="宋体" w:cs="宋体"/>
          <w:b/>
          <w:bCs/>
          <w:color w:val="auto"/>
          <w:sz w:val="32"/>
          <w:szCs w:val="32"/>
          <w:highlight w:val="none"/>
        </w:rPr>
      </w:pPr>
      <w:r>
        <w:rPr>
          <w:rFonts w:hint="eastAsia" w:hAnsi="宋体" w:cs="宋体"/>
          <w:b/>
          <w:bCs/>
          <w:color w:val="auto"/>
          <w:sz w:val="32"/>
          <w:szCs w:val="32"/>
          <w:highlight w:val="none"/>
        </w:rPr>
        <w:t xml:space="preserve">  目   录</w:t>
      </w:r>
    </w:p>
    <w:p w14:paraId="35097620">
      <w:pPr>
        <w:pStyle w:val="4"/>
        <w:snapToGrid w:val="0"/>
        <w:spacing w:line="360" w:lineRule="auto"/>
        <w:ind w:firstLine="0"/>
        <w:rPr>
          <w:rFonts w:ascii="宋体" w:hAnsi="宋体" w:cs="宋体"/>
          <w:color w:val="auto"/>
          <w:sz w:val="24"/>
          <w:szCs w:val="24"/>
          <w:highlight w:val="none"/>
        </w:rPr>
      </w:pPr>
    </w:p>
    <w:p w14:paraId="570106AA">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第一章    投标邀请 ………………………………………………  1</w:t>
      </w:r>
    </w:p>
    <w:p w14:paraId="7A3E725B">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 xml:space="preserve">     投标邀请函…………………………………………………  1-1</w:t>
      </w:r>
    </w:p>
    <w:p w14:paraId="7CC1D845">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第二章    投标人须知  ……………………………………………2</w:t>
      </w:r>
    </w:p>
    <w:p w14:paraId="43B68F6E">
      <w:pPr>
        <w:spacing w:line="360" w:lineRule="auto"/>
        <w:ind w:firstLine="240" w:firstLineChars="100"/>
        <w:rPr>
          <w:rFonts w:ascii="宋体" w:hAnsi="宋体" w:cs="宋体"/>
          <w:bCs/>
          <w:color w:val="auto"/>
          <w:sz w:val="24"/>
          <w:szCs w:val="24"/>
          <w:highlight w:val="none"/>
        </w:rPr>
      </w:pPr>
      <w:r>
        <w:rPr>
          <w:rFonts w:hint="eastAsia" w:ascii="宋体" w:hAnsi="宋体" w:cs="宋体"/>
          <w:bCs/>
          <w:color w:val="auto"/>
          <w:sz w:val="24"/>
          <w:szCs w:val="24"/>
          <w:highlight w:val="none"/>
        </w:rPr>
        <w:t>投标人须知前附表1、2、3 、4</w:t>
      </w:r>
      <w:r>
        <w:rPr>
          <w:rFonts w:hint="eastAsia" w:ascii="宋体" w:hAnsi="宋体" w:cs="宋体"/>
          <w:color w:val="auto"/>
          <w:sz w:val="24"/>
          <w:szCs w:val="24"/>
          <w:highlight w:val="none"/>
        </w:rPr>
        <w:t>……………………………………2-1-1</w:t>
      </w:r>
    </w:p>
    <w:p w14:paraId="04CDB037">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一、 说明 ………………………………………………………2-2-1</w:t>
      </w:r>
    </w:p>
    <w:p w14:paraId="12D07B2B">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二、 招标文件 …………………………………………………2-2-4</w:t>
      </w:r>
    </w:p>
    <w:p w14:paraId="7587DB5A">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三、 投标文件的编写 …………………………………………2-2-5</w:t>
      </w:r>
    </w:p>
    <w:p w14:paraId="280D90E1">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四、 投标文件的提交 …………………………………………2-2-8</w:t>
      </w:r>
    </w:p>
    <w:p w14:paraId="69681467">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五、 投标文件的评估和比较 …………………………………2-2-9</w:t>
      </w:r>
    </w:p>
    <w:p w14:paraId="5B3A137E">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六、 定标与签订合同…………………………………………2-2-12</w:t>
      </w:r>
    </w:p>
    <w:p w14:paraId="1951B7DA">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第三章    招标内容及要求  ………………………………………3-1</w:t>
      </w:r>
    </w:p>
    <w:p w14:paraId="4E39C7B7">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第四章    政府</w:t>
      </w:r>
      <w:r>
        <w:rPr>
          <w:rFonts w:hint="eastAsia" w:ascii="宋体" w:hAnsi="宋体" w:cs="宋体"/>
          <w:bCs/>
          <w:color w:val="auto"/>
          <w:sz w:val="24"/>
          <w:szCs w:val="24"/>
          <w:highlight w:val="none"/>
        </w:rPr>
        <w:t xml:space="preserve">采购合同 </w:t>
      </w:r>
      <w:r>
        <w:rPr>
          <w:rFonts w:hint="eastAsia" w:ascii="宋体" w:hAnsi="宋体" w:cs="宋体"/>
          <w:color w:val="auto"/>
          <w:sz w:val="24"/>
          <w:szCs w:val="24"/>
          <w:highlight w:val="none"/>
        </w:rPr>
        <w:t>…………………………………………4-1</w:t>
      </w:r>
    </w:p>
    <w:p w14:paraId="315083C9">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第五章    投标文件格式 …………………………………………5-1</w:t>
      </w:r>
    </w:p>
    <w:p w14:paraId="2219A581">
      <w:pPr>
        <w:pStyle w:val="4"/>
        <w:spacing w:line="360" w:lineRule="auto"/>
        <w:ind w:firstLine="2250" w:firstLineChars="934"/>
        <w:rPr>
          <w:rFonts w:ascii="宋体" w:hAnsi="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14:paraId="4C1C3B50">
      <w:pPr>
        <w:pStyle w:val="16"/>
        <w:spacing w:line="360" w:lineRule="auto"/>
        <w:jc w:val="center"/>
        <w:rPr>
          <w:rFonts w:hAnsi="宋体" w:cs="宋体"/>
          <w:b/>
          <w:bCs/>
          <w:color w:val="auto"/>
          <w:sz w:val="32"/>
          <w:szCs w:val="32"/>
          <w:highlight w:val="none"/>
        </w:rPr>
      </w:pPr>
      <w:r>
        <w:rPr>
          <w:rFonts w:hint="eastAsia" w:hAnsi="宋体" w:cs="宋体"/>
          <w:b/>
          <w:color w:val="auto"/>
          <w:sz w:val="32"/>
          <w:szCs w:val="32"/>
          <w:highlight w:val="none"/>
        </w:rPr>
        <w:t>第一章  投标邀请函</w:t>
      </w:r>
    </w:p>
    <w:p w14:paraId="35E47E5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cs="宋体"/>
          <w:color w:val="auto"/>
          <w:sz w:val="24"/>
          <w:szCs w:val="24"/>
          <w:highlight w:val="none"/>
        </w:rPr>
        <w:t>委托，</w:t>
      </w:r>
      <w:r>
        <w:rPr>
          <w:rFonts w:hint="eastAsia" w:ascii="宋体" w:hAnsi="宋体" w:cs="宋体"/>
          <w:b/>
          <w:color w:val="auto"/>
          <w:sz w:val="24"/>
          <w:szCs w:val="24"/>
          <w:highlight w:val="none"/>
          <w:u w:val="single"/>
        </w:rPr>
        <w:t>厦门万翔招标有限公司</w:t>
      </w:r>
      <w:r>
        <w:rPr>
          <w:rFonts w:hint="eastAsia" w:ascii="宋体" w:hAnsi="宋体" w:cs="宋体"/>
          <w:color w:val="auto"/>
          <w:sz w:val="24"/>
          <w:szCs w:val="24"/>
          <w:highlight w:val="none"/>
        </w:rPr>
        <w:t>对【</w:t>
      </w:r>
      <w:r>
        <w:rPr>
          <w:rFonts w:hint="eastAsia" w:ascii="宋体" w:hAnsi="宋体" w:cs="宋体"/>
          <w:b/>
          <w:color w:val="auto"/>
          <w:sz w:val="24"/>
          <w:szCs w:val="24"/>
          <w:highlight w:val="none"/>
          <w:u w:val="single"/>
        </w:rPr>
        <w:t>2024年度大宗高拍仪采购</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rPr>
        <w:t>货物（或服务）进行国内公开招标，现欢迎国内合格的投标人前来投标。</w:t>
      </w:r>
    </w:p>
    <w:p w14:paraId="4DCB1DCC">
      <w:pPr>
        <w:spacing w:line="360" w:lineRule="auto"/>
        <w:ind w:firstLine="360" w:firstLineChars="150"/>
        <w:rPr>
          <w:rFonts w:ascii="宋体" w:hAnsi="宋体" w:cs="宋体"/>
          <w:color w:val="auto"/>
          <w:sz w:val="24"/>
          <w:szCs w:val="24"/>
          <w:highlight w:val="none"/>
          <w:u w:val="single"/>
        </w:rPr>
      </w:pPr>
      <w:r>
        <w:rPr>
          <w:rFonts w:hint="eastAsia" w:ascii="宋体" w:hAnsi="宋体" w:cs="宋体"/>
          <w:color w:val="auto"/>
          <w:sz w:val="24"/>
          <w:szCs w:val="24"/>
          <w:highlight w:val="none"/>
        </w:rPr>
        <w:t>1、招标编号：</w:t>
      </w:r>
      <w:r>
        <w:rPr>
          <w:rFonts w:hint="eastAsia" w:ascii="宋体" w:hAnsi="宋体" w:cs="宋体"/>
          <w:color w:val="auto"/>
          <w:sz w:val="24"/>
          <w:szCs w:val="24"/>
          <w:highlight w:val="none"/>
          <w:u w:val="single"/>
        </w:rPr>
        <w:t>XM2024-DZ0046。</w:t>
      </w:r>
    </w:p>
    <w:p w14:paraId="76A0EC93">
      <w:pPr>
        <w:spacing w:line="360" w:lineRule="auto"/>
        <w:ind w:firstLine="318" w:firstLineChars="150"/>
        <w:rPr>
          <w:rFonts w:ascii="宋体" w:hAnsi="宋体" w:cs="宋体"/>
          <w:color w:val="auto"/>
          <w:spacing w:val="-14"/>
          <w:sz w:val="24"/>
          <w:szCs w:val="24"/>
          <w:highlight w:val="none"/>
        </w:rPr>
      </w:pPr>
      <w:r>
        <w:rPr>
          <w:rFonts w:hint="eastAsia" w:ascii="宋体" w:hAnsi="宋体" w:cs="宋体"/>
          <w:color w:val="auto"/>
          <w:spacing w:val="-14"/>
          <w:sz w:val="24"/>
          <w:szCs w:val="24"/>
          <w:highlight w:val="none"/>
        </w:rPr>
        <w:t>2、招标货物（服务）名称、数量及主要技术规格：见后</w:t>
      </w:r>
      <w:r>
        <w:rPr>
          <w:rFonts w:hint="eastAsia" w:ascii="宋体" w:hAnsi="宋体" w:cs="宋体"/>
          <w:color w:val="auto"/>
          <w:sz w:val="24"/>
          <w:szCs w:val="24"/>
          <w:highlight w:val="none"/>
        </w:rPr>
        <w:t>附招标货物（</w:t>
      </w:r>
      <w:r>
        <w:rPr>
          <w:rFonts w:hint="eastAsia" w:ascii="宋体" w:hAnsi="宋体" w:cs="宋体"/>
          <w:color w:val="auto"/>
          <w:spacing w:val="-14"/>
          <w:sz w:val="24"/>
          <w:szCs w:val="24"/>
          <w:highlight w:val="none"/>
        </w:rPr>
        <w:t>服务）</w:t>
      </w:r>
      <w:r>
        <w:rPr>
          <w:rFonts w:hint="eastAsia" w:ascii="宋体" w:hAnsi="宋体" w:cs="宋体"/>
          <w:color w:val="auto"/>
          <w:sz w:val="24"/>
          <w:szCs w:val="24"/>
          <w:highlight w:val="none"/>
        </w:rPr>
        <w:t>一览表。</w:t>
      </w:r>
    </w:p>
    <w:p w14:paraId="2AEB3CB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3、招标文件获取方式：</w:t>
      </w:r>
      <w:r>
        <w:rPr>
          <w:rFonts w:hint="eastAsia" w:ascii="宋体" w:hAnsi="宋体" w:cs="宋体"/>
          <w:bCs/>
          <w:color w:val="auto"/>
          <w:sz w:val="24"/>
          <w:szCs w:val="24"/>
          <w:highlight w:val="none"/>
        </w:rPr>
        <w:t>2024年</w:t>
      </w:r>
      <w:r>
        <w:rPr>
          <w:rFonts w:hint="eastAsia" w:ascii="宋体" w:hAnsi="宋体" w:cs="宋体"/>
          <w:bCs/>
          <w:color w:val="auto"/>
          <w:sz w:val="24"/>
          <w:szCs w:val="24"/>
          <w:highlight w:val="non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22</w:t>
      </w:r>
      <w:r>
        <w:rPr>
          <w:rFonts w:hint="eastAsia" w:ascii="宋体" w:hAnsi="宋体" w:cs="宋体"/>
          <w:color w:val="auto"/>
          <w:sz w:val="24"/>
          <w:szCs w:val="24"/>
          <w:highlight w:val="none"/>
        </w:rPr>
        <w:t>日至2024年</w:t>
      </w: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日，有意向的供应商应在厦门招投标网（http:// www.xmztb.com，下同）注册账号，登录后可免费在线浏览招标文件，完成缴费并下载招标文件后方具备投标资格。缴费仅支持在线扫码支付。</w:t>
      </w:r>
    </w:p>
    <w:p w14:paraId="773B345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A、供应商注册详见厦门招投标网－办事指南－操作手册—《供应商注册登记操作手册》</w:t>
      </w:r>
    </w:p>
    <w:p w14:paraId="44E4AA1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B、缴费及下载招标文件详见厦门招投标网－办事指南－操作手册—《供应商招标项目操作手册》</w:t>
      </w:r>
    </w:p>
    <w:p w14:paraId="155CB88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C、请各投标人务必在招标文件购买截止时间前，在线扫码支付完成缴费并下载招标文件，否则不具备投标资格。</w:t>
      </w:r>
    </w:p>
    <w:p w14:paraId="02A99243">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D、纸质招标文件(若需要)获取方式：领取地点在厦门市湖里区机场北路476号万翔招标4楼售标室。纸质招标文件领取事宜联系电话：0592-2219823。</w:t>
      </w:r>
    </w:p>
    <w:p w14:paraId="0D89CBA9">
      <w:pPr>
        <w:pStyle w:val="6"/>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4、招标文件售价：每个合同包</w:t>
      </w:r>
      <w:r>
        <w:rPr>
          <w:rFonts w:hint="eastAsia" w:hAnsi="宋体" w:cs="宋体"/>
          <w:color w:val="auto"/>
          <w:sz w:val="24"/>
          <w:szCs w:val="24"/>
          <w:highlight w:val="none"/>
          <w:u w:val="single"/>
        </w:rPr>
        <w:t xml:space="preserve">   50   </w:t>
      </w:r>
      <w:r>
        <w:rPr>
          <w:rFonts w:hint="eastAsia" w:hAnsi="宋体" w:cs="宋体"/>
          <w:color w:val="auto"/>
          <w:sz w:val="24"/>
          <w:szCs w:val="24"/>
          <w:highlight w:val="none"/>
        </w:rPr>
        <w:t>元人民币，售后不退。</w:t>
      </w:r>
    </w:p>
    <w:p w14:paraId="52D1AE2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5、投标截止时间、地点：投标文件应于2024年</w:t>
      </w: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日上午9：</w:t>
      </w: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（北京时间）之前提交到</w:t>
      </w:r>
      <w:r>
        <w:rPr>
          <w:rFonts w:hint="eastAsia" w:ascii="宋体" w:hAnsi="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4</w:t>
      </w:r>
      <w:r>
        <w:rPr>
          <w:rFonts w:hint="eastAsia" w:ascii="宋体" w:hAnsi="宋体" w:cs="宋体"/>
          <w:b/>
          <w:color w:val="auto"/>
          <w:sz w:val="24"/>
          <w:szCs w:val="24"/>
          <w:highlight w:val="none"/>
          <w:u w:val="single"/>
        </w:rPr>
        <w:t>号收标窗口</w:t>
      </w:r>
      <w:r>
        <w:rPr>
          <w:rFonts w:hint="eastAsia" w:ascii="宋体" w:hAnsi="宋体" w:cs="宋体"/>
          <w:color w:val="auto"/>
          <w:sz w:val="24"/>
          <w:szCs w:val="24"/>
          <w:highlight w:val="none"/>
        </w:rPr>
        <w:t>。逾期收到的或不符合规定的投标文件将被拒绝。</w:t>
      </w:r>
    </w:p>
    <w:p w14:paraId="5F5913B1">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6、开标时间、地点: 2024年</w:t>
      </w: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日上午9：</w:t>
      </w: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（北京时间）于</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val="en-US" w:eastAsia="zh-CN"/>
        </w:rPr>
        <w:t>C</w:t>
      </w:r>
      <w:r>
        <w:rPr>
          <w:rFonts w:hint="eastAsia" w:ascii="宋体" w:hAnsi="宋体" w:cs="宋体"/>
          <w:b/>
          <w:color w:val="auto"/>
          <w:sz w:val="24"/>
          <w:szCs w:val="24"/>
          <w:highlight w:val="none"/>
          <w:u w:val="single"/>
        </w:rPr>
        <w:t>区开标室</w:t>
      </w:r>
      <w:r>
        <w:rPr>
          <w:rFonts w:hint="eastAsia" w:ascii="宋体" w:hAnsi="宋体" w:cs="宋体"/>
          <w:b/>
          <w:color w:val="auto"/>
          <w:sz w:val="24"/>
          <w:szCs w:val="24"/>
          <w:highlight w:val="none"/>
          <w:u w:val="single"/>
          <w:lang w:val="en-US" w:eastAsia="zh-CN"/>
        </w:rPr>
        <w:t>8</w:t>
      </w:r>
      <w:r>
        <w:rPr>
          <w:rFonts w:hint="eastAsia" w:ascii="宋体" w:hAnsi="宋体" w:cs="宋体"/>
          <w:b/>
          <w:color w:val="auto"/>
          <w:sz w:val="24"/>
          <w:szCs w:val="24"/>
          <w:highlight w:val="none"/>
          <w:u w:val="single"/>
        </w:rPr>
        <w:t>（C40</w:t>
      </w:r>
      <w:r>
        <w:rPr>
          <w:rFonts w:hint="eastAsia" w:ascii="宋体" w:hAnsi="宋体" w:cs="宋体"/>
          <w:b/>
          <w:color w:val="auto"/>
          <w:sz w:val="24"/>
          <w:szCs w:val="24"/>
          <w:highlight w:val="none"/>
          <w:u w:val="single"/>
          <w:lang w:val="en-US" w:eastAsia="zh-CN"/>
        </w:rPr>
        <w:t>7</w:t>
      </w:r>
      <w:r>
        <w:rPr>
          <w:rFonts w:hint="eastAsia" w:ascii="宋体" w:hAnsi="宋体" w:cs="宋体"/>
          <w:b/>
          <w:color w:val="auto"/>
          <w:sz w:val="24"/>
          <w:szCs w:val="24"/>
          <w:highlight w:val="none"/>
          <w:u w:val="single"/>
        </w:rPr>
        <w:t>）</w:t>
      </w:r>
      <w:r>
        <w:rPr>
          <w:rFonts w:hint="eastAsia" w:ascii="宋体" w:hAnsi="宋体" w:cs="宋体"/>
          <w:color w:val="auto"/>
          <w:sz w:val="24"/>
          <w:szCs w:val="24"/>
          <w:highlight w:val="none"/>
        </w:rPr>
        <w:t>。</w:t>
      </w:r>
    </w:p>
    <w:p w14:paraId="653662EE">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7、本项目（接受）联合体投标。</w:t>
      </w:r>
    </w:p>
    <w:p w14:paraId="38CC1523">
      <w:pPr>
        <w:spacing w:line="360" w:lineRule="auto"/>
        <w:ind w:firstLine="360" w:firstLineChars="150"/>
        <w:rPr>
          <w:rFonts w:ascii="宋体" w:hAnsi="宋体" w:cs="宋体"/>
          <w:color w:val="auto"/>
          <w:sz w:val="24"/>
          <w:szCs w:val="24"/>
          <w:highlight w:val="none"/>
        </w:rPr>
      </w:pPr>
      <w:r>
        <w:rPr>
          <w:rFonts w:hint="eastAsia" w:ascii="宋体" w:hAnsi="宋体" w:cs="宋体"/>
          <w:bCs/>
          <w:color w:val="auto"/>
          <w:sz w:val="24"/>
          <w:szCs w:val="24"/>
          <w:highlight w:val="none"/>
        </w:rPr>
        <w:t>8、招标文件如有变更，</w:t>
      </w:r>
      <w:r>
        <w:rPr>
          <w:rFonts w:hint="eastAsia" w:ascii="宋体" w:hAnsi="宋体" w:cs="宋体"/>
          <w:b/>
          <w:color w:val="auto"/>
          <w:sz w:val="24"/>
          <w:szCs w:val="24"/>
          <w:highlight w:val="none"/>
          <w:u w:val="single"/>
        </w:rPr>
        <w:t>厦门万翔招标有限公司</w:t>
      </w:r>
      <w:r>
        <w:rPr>
          <w:rFonts w:hint="eastAsia" w:ascii="宋体" w:hAnsi="宋体" w:cs="宋体"/>
          <w:bCs/>
          <w:color w:val="auto"/>
          <w:sz w:val="24"/>
          <w:szCs w:val="24"/>
          <w:highlight w:val="none"/>
        </w:rPr>
        <w:t>将通过中国政府采购网、厦门招投标网（</w:t>
      </w:r>
      <w:r>
        <w:rPr>
          <w:rFonts w:hint="eastAsia" w:ascii="宋体" w:hAnsi="宋体" w:cs="宋体"/>
          <w:color w:val="auto"/>
          <w:sz w:val="24"/>
          <w:szCs w:val="24"/>
          <w:highlight w:val="none"/>
        </w:rPr>
        <w:t>www.xmztb.com</w:t>
      </w:r>
      <w:r>
        <w:rPr>
          <w:rFonts w:hint="eastAsia" w:ascii="宋体" w:hAnsi="宋体" w:cs="宋体"/>
          <w:bCs/>
          <w:color w:val="auto"/>
          <w:sz w:val="24"/>
          <w:szCs w:val="24"/>
          <w:highlight w:val="none"/>
        </w:rPr>
        <w:t>）等媒体发布通知信息，请投标人关注</w:t>
      </w:r>
      <w:r>
        <w:rPr>
          <w:rFonts w:hint="eastAsia" w:ascii="宋体" w:hAnsi="宋体" w:cs="宋体"/>
          <w:color w:val="auto"/>
          <w:sz w:val="24"/>
          <w:szCs w:val="24"/>
          <w:highlight w:val="none"/>
        </w:rPr>
        <w:t>。</w:t>
      </w:r>
    </w:p>
    <w:p w14:paraId="60FCFCE5">
      <w:pPr>
        <w:spacing w:line="360" w:lineRule="auto"/>
        <w:ind w:firstLine="361" w:firstLineChars="150"/>
        <w:rPr>
          <w:rFonts w:ascii="宋体" w:hAnsi="宋体" w:cs="宋体"/>
          <w:b/>
          <w:color w:val="auto"/>
          <w:sz w:val="24"/>
          <w:szCs w:val="24"/>
          <w:highlight w:val="none"/>
        </w:rPr>
      </w:pPr>
      <w:r>
        <w:rPr>
          <w:rFonts w:hint="eastAsia" w:ascii="宋体" w:hAnsi="宋体" w:cs="宋体"/>
          <w:b/>
          <w:color w:val="auto"/>
          <w:sz w:val="24"/>
          <w:szCs w:val="24"/>
          <w:highlight w:val="none"/>
        </w:rPr>
        <w:t>9、友情提醒：本项目仅限网上购买招标文件，投标人必须按招标文件要求递交纸质投标文件。</w:t>
      </w:r>
    </w:p>
    <w:p w14:paraId="5F195D64">
      <w:pPr>
        <w:spacing w:line="360" w:lineRule="auto"/>
        <w:ind w:firstLine="360" w:firstLineChars="150"/>
        <w:rPr>
          <w:rFonts w:ascii="宋体" w:hAnsi="宋体" w:cs="宋体"/>
          <w:color w:val="auto"/>
          <w:sz w:val="24"/>
          <w:szCs w:val="24"/>
          <w:highlight w:val="none"/>
          <w:u w:val="single"/>
        </w:rPr>
      </w:pPr>
      <w:r>
        <w:rPr>
          <w:rFonts w:hint="eastAsia" w:ascii="宋体" w:hAnsi="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2C82592E">
      <w:pPr>
        <w:spacing w:line="360" w:lineRule="auto"/>
        <w:ind w:firstLine="361" w:firstLineChars="150"/>
        <w:rPr>
          <w:rFonts w:ascii="宋体" w:hAnsi="宋体" w:cs="宋体"/>
          <w:b/>
          <w:bCs/>
          <w:color w:val="auto"/>
          <w:sz w:val="24"/>
          <w:szCs w:val="24"/>
          <w:highlight w:val="none"/>
        </w:rPr>
      </w:pPr>
      <w:r>
        <w:rPr>
          <w:rFonts w:hint="eastAsia" w:ascii="宋体" w:hAnsi="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7C6FC4D2">
      <w:pPr>
        <w:tabs>
          <w:tab w:val="left" w:pos="1140"/>
        </w:tabs>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12、各有关联系方式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035"/>
        <w:gridCol w:w="3289"/>
      </w:tblGrid>
      <w:tr w14:paraId="6B032A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vAlign w:val="center"/>
          </w:tcPr>
          <w:p w14:paraId="5590DB8F">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序号</w:t>
            </w:r>
          </w:p>
        </w:tc>
        <w:tc>
          <w:tcPr>
            <w:tcW w:w="1409" w:type="dxa"/>
            <w:vAlign w:val="center"/>
          </w:tcPr>
          <w:p w14:paraId="78E381D2">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分工</w:t>
            </w:r>
          </w:p>
        </w:tc>
        <w:tc>
          <w:tcPr>
            <w:tcW w:w="1239" w:type="dxa"/>
            <w:vAlign w:val="center"/>
          </w:tcPr>
          <w:p w14:paraId="570B0AE2">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联系人</w:t>
            </w:r>
          </w:p>
        </w:tc>
        <w:tc>
          <w:tcPr>
            <w:tcW w:w="3035" w:type="dxa"/>
            <w:vAlign w:val="center"/>
          </w:tcPr>
          <w:p w14:paraId="3504B5E7">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职责范围</w:t>
            </w:r>
          </w:p>
        </w:tc>
        <w:tc>
          <w:tcPr>
            <w:tcW w:w="3289" w:type="dxa"/>
            <w:vAlign w:val="center"/>
          </w:tcPr>
          <w:p w14:paraId="5578A35D">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联系电话</w:t>
            </w:r>
          </w:p>
        </w:tc>
      </w:tr>
      <w:tr w14:paraId="1BDABD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14:paraId="0E950E9A">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409" w:type="dxa"/>
            <w:vAlign w:val="center"/>
          </w:tcPr>
          <w:p w14:paraId="684A3D45">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项目经办</w:t>
            </w:r>
          </w:p>
        </w:tc>
        <w:tc>
          <w:tcPr>
            <w:tcW w:w="1239" w:type="dxa"/>
            <w:vAlign w:val="center"/>
          </w:tcPr>
          <w:p w14:paraId="702F0A78">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陈小姐、陈</w:t>
            </w:r>
            <w:r>
              <w:rPr>
                <w:rFonts w:hint="eastAsia" w:ascii="宋体" w:hAnsi="宋体" w:cs="宋体"/>
                <w:color w:val="auto"/>
                <w:kern w:val="0"/>
                <w:sz w:val="24"/>
                <w:szCs w:val="24"/>
                <w:highlight w:val="none"/>
              </w:rPr>
              <w:t>小姐</w:t>
            </w:r>
          </w:p>
        </w:tc>
        <w:tc>
          <w:tcPr>
            <w:tcW w:w="3035" w:type="dxa"/>
            <w:vAlign w:val="center"/>
          </w:tcPr>
          <w:p w14:paraId="385096DB">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负责招标文件的咨询、答疑等工作</w:t>
            </w:r>
          </w:p>
        </w:tc>
        <w:tc>
          <w:tcPr>
            <w:tcW w:w="3289" w:type="dxa"/>
            <w:vAlign w:val="center"/>
          </w:tcPr>
          <w:p w14:paraId="795E50E2">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0592-</w:t>
            </w:r>
            <w:r>
              <w:rPr>
                <w:rFonts w:hint="eastAsia" w:ascii="宋体" w:hAnsi="宋体" w:cs="宋体"/>
                <w:color w:val="auto"/>
                <w:sz w:val="24"/>
                <w:szCs w:val="24"/>
                <w:highlight w:val="none"/>
                <w:lang w:val="en-US" w:eastAsia="zh-CN"/>
              </w:rPr>
              <w:t>5733218、2298129</w:t>
            </w:r>
          </w:p>
          <w:p w14:paraId="4A43551E">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传真0592-5706660-6969</w:t>
            </w:r>
          </w:p>
        </w:tc>
      </w:tr>
      <w:tr w14:paraId="4932AB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14:paraId="7B546C81">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p>
        </w:tc>
        <w:tc>
          <w:tcPr>
            <w:tcW w:w="1409" w:type="dxa"/>
            <w:vAlign w:val="center"/>
          </w:tcPr>
          <w:p w14:paraId="3FE2AF9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投标保证金</w:t>
            </w:r>
          </w:p>
        </w:tc>
        <w:tc>
          <w:tcPr>
            <w:tcW w:w="1239" w:type="dxa"/>
            <w:vAlign w:val="center"/>
          </w:tcPr>
          <w:p w14:paraId="4FB620EB">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陈</w:t>
            </w:r>
            <w:r>
              <w:rPr>
                <w:rFonts w:hint="eastAsia" w:ascii="宋体" w:hAnsi="宋体" w:cs="宋体"/>
                <w:color w:val="auto"/>
                <w:sz w:val="24"/>
                <w:szCs w:val="24"/>
                <w:highlight w:val="none"/>
              </w:rPr>
              <w:t>小姐</w:t>
            </w:r>
          </w:p>
        </w:tc>
        <w:tc>
          <w:tcPr>
            <w:tcW w:w="3035" w:type="dxa"/>
            <w:vAlign w:val="center"/>
          </w:tcPr>
          <w:p w14:paraId="5DBA9A9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投标保证金收、退</w:t>
            </w:r>
          </w:p>
        </w:tc>
        <w:tc>
          <w:tcPr>
            <w:tcW w:w="3289" w:type="dxa"/>
            <w:vAlign w:val="center"/>
          </w:tcPr>
          <w:p w14:paraId="1EA998F9">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0592-5703367</w:t>
            </w:r>
          </w:p>
        </w:tc>
      </w:tr>
      <w:tr w14:paraId="13AD3D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14:paraId="4E8E5D63">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w:t>
            </w:r>
          </w:p>
        </w:tc>
        <w:tc>
          <w:tcPr>
            <w:tcW w:w="1409" w:type="dxa"/>
            <w:vAlign w:val="center"/>
          </w:tcPr>
          <w:p w14:paraId="51E2773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代理服务费</w:t>
            </w:r>
          </w:p>
        </w:tc>
        <w:tc>
          <w:tcPr>
            <w:tcW w:w="1239" w:type="dxa"/>
            <w:vAlign w:val="center"/>
          </w:tcPr>
          <w:p w14:paraId="1CA5D00A">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陈小姐</w:t>
            </w:r>
          </w:p>
        </w:tc>
        <w:tc>
          <w:tcPr>
            <w:tcW w:w="3035" w:type="dxa"/>
            <w:vAlign w:val="center"/>
          </w:tcPr>
          <w:p w14:paraId="0998195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代理服务费收取</w:t>
            </w:r>
          </w:p>
        </w:tc>
        <w:tc>
          <w:tcPr>
            <w:tcW w:w="3289" w:type="dxa"/>
            <w:vAlign w:val="center"/>
          </w:tcPr>
          <w:p w14:paraId="13F4E03C">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w:t>
            </w:r>
            <w:r>
              <w:rPr>
                <w:rFonts w:hint="eastAsia" w:ascii="宋体" w:hAnsi="宋体" w:cs="宋体"/>
                <w:color w:val="auto"/>
                <w:sz w:val="24"/>
                <w:szCs w:val="24"/>
                <w:highlight w:val="none"/>
              </w:rPr>
              <w:t xml:space="preserve"> </w:t>
            </w:r>
            <w:r>
              <w:rPr>
                <w:rFonts w:hint="eastAsia" w:ascii="宋体" w:hAnsi="宋体" w:cs="宋体"/>
                <w:color w:val="auto"/>
                <w:kern w:val="0"/>
                <w:sz w:val="24"/>
                <w:szCs w:val="24"/>
                <w:highlight w:val="none"/>
              </w:rPr>
              <w:t>5703367</w:t>
            </w:r>
          </w:p>
        </w:tc>
      </w:tr>
      <w:tr w14:paraId="0C26CB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14:paraId="3D2FD175">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4</w:t>
            </w:r>
          </w:p>
        </w:tc>
        <w:tc>
          <w:tcPr>
            <w:tcW w:w="1409" w:type="dxa"/>
            <w:vAlign w:val="center"/>
          </w:tcPr>
          <w:p w14:paraId="45811C1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监督</w:t>
            </w:r>
          </w:p>
        </w:tc>
        <w:tc>
          <w:tcPr>
            <w:tcW w:w="1239" w:type="dxa"/>
            <w:vAlign w:val="center"/>
          </w:tcPr>
          <w:p w14:paraId="58EA81A8">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黄经理</w:t>
            </w:r>
          </w:p>
        </w:tc>
        <w:tc>
          <w:tcPr>
            <w:tcW w:w="3035" w:type="dxa"/>
            <w:vAlign w:val="center"/>
          </w:tcPr>
          <w:p w14:paraId="3AE122A7">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欢迎投标人对项目采购过程中公告发布、招标文件购买、投标保证金缴交和退还、代理服务费收取、中标通知书发放等环节的服务进行监督。我们将竭诚为您提供最优质的服务。</w:t>
            </w:r>
          </w:p>
        </w:tc>
        <w:tc>
          <w:tcPr>
            <w:tcW w:w="3289" w:type="dxa"/>
            <w:vAlign w:val="center"/>
          </w:tcPr>
          <w:p w14:paraId="3F97B8B8">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0592-5705656</w:t>
            </w:r>
          </w:p>
        </w:tc>
      </w:tr>
      <w:tr w14:paraId="3AC7A0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vAlign w:val="center"/>
          </w:tcPr>
          <w:p w14:paraId="634F3217">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5</w:t>
            </w:r>
          </w:p>
        </w:tc>
        <w:tc>
          <w:tcPr>
            <w:tcW w:w="1409" w:type="dxa"/>
            <w:vAlign w:val="center"/>
          </w:tcPr>
          <w:p w14:paraId="25EA755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接收质疑</w:t>
            </w:r>
          </w:p>
        </w:tc>
        <w:tc>
          <w:tcPr>
            <w:tcW w:w="1239" w:type="dxa"/>
            <w:vAlign w:val="center"/>
          </w:tcPr>
          <w:p w14:paraId="7D0AF08F">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刘经理</w:t>
            </w:r>
          </w:p>
        </w:tc>
        <w:tc>
          <w:tcPr>
            <w:tcW w:w="3035" w:type="dxa"/>
            <w:vAlign w:val="center"/>
          </w:tcPr>
          <w:p w14:paraId="2AD036B1">
            <w:pPr>
              <w:spacing w:line="360" w:lineRule="auto"/>
              <w:rPr>
                <w:rFonts w:ascii="宋体" w:hAnsi="宋体" w:cs="宋体"/>
                <w:b/>
                <w:color w:val="auto"/>
                <w:sz w:val="24"/>
                <w:szCs w:val="24"/>
                <w:highlight w:val="none"/>
              </w:rPr>
            </w:pPr>
            <w:r>
              <w:rPr>
                <w:rFonts w:hint="eastAsia" w:ascii="宋体" w:hAnsi="宋体" w:cs="宋体"/>
                <w:color w:val="auto"/>
                <w:kern w:val="0"/>
                <w:sz w:val="24"/>
                <w:szCs w:val="24"/>
                <w:highlight w:val="none"/>
              </w:rPr>
              <w:t>负责接收质疑</w:t>
            </w:r>
          </w:p>
        </w:tc>
        <w:tc>
          <w:tcPr>
            <w:tcW w:w="3289" w:type="dxa"/>
            <w:vAlign w:val="center"/>
          </w:tcPr>
          <w:p w14:paraId="7554355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电话0592-2218761</w:t>
            </w:r>
          </w:p>
          <w:p w14:paraId="724A0A4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传真0592-5706660-6969</w:t>
            </w:r>
          </w:p>
          <w:p w14:paraId="6B5AD5B2">
            <w:pPr>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"mailto:邮箱hcq@iport.com.cn" </w:instrText>
            </w:r>
            <w:r>
              <w:rPr>
                <w:color w:val="auto"/>
                <w:highlight w:val="none"/>
              </w:rPr>
              <w:fldChar w:fldCharType="separate"/>
            </w:r>
            <w:r>
              <w:rPr>
                <w:rFonts w:hint="eastAsia" w:ascii="宋体" w:hAnsi="宋体" w:cs="宋体"/>
                <w:color w:val="auto"/>
                <w:sz w:val="24"/>
                <w:szCs w:val="24"/>
                <w:highlight w:val="none"/>
              </w:rPr>
              <w:t>邮箱lmf@iport.com.cn</w:t>
            </w:r>
            <w:r>
              <w:rPr>
                <w:rFonts w:hint="eastAsia" w:ascii="宋体" w:hAnsi="宋体" w:cs="宋体"/>
                <w:color w:val="auto"/>
                <w:sz w:val="24"/>
                <w:szCs w:val="24"/>
                <w:highlight w:val="none"/>
              </w:rPr>
              <w:fldChar w:fldCharType="end"/>
            </w:r>
          </w:p>
          <w:p w14:paraId="121DD8AF">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通讯地址：厦门市湖里区机场北路476号4楼</w:t>
            </w:r>
          </w:p>
        </w:tc>
      </w:tr>
    </w:tbl>
    <w:p w14:paraId="12D0B173">
      <w:pPr>
        <w:tabs>
          <w:tab w:val="left" w:pos="11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13、投标保证金及代理服务费、文件费缴交账户：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7E6184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vAlign w:val="center"/>
          </w:tcPr>
          <w:p w14:paraId="44C42E68">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类   别</w:t>
            </w:r>
          </w:p>
        </w:tc>
        <w:tc>
          <w:tcPr>
            <w:tcW w:w="3240" w:type="dxa"/>
            <w:vAlign w:val="center"/>
          </w:tcPr>
          <w:p w14:paraId="554673CB">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投标保证金缴交账户</w:t>
            </w:r>
          </w:p>
        </w:tc>
        <w:tc>
          <w:tcPr>
            <w:tcW w:w="4602" w:type="dxa"/>
            <w:vAlign w:val="center"/>
          </w:tcPr>
          <w:p w14:paraId="229F4D67">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文件费、代理服务费缴交账户</w:t>
            </w:r>
          </w:p>
        </w:tc>
      </w:tr>
      <w:tr w14:paraId="247226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vAlign w:val="center"/>
          </w:tcPr>
          <w:p w14:paraId="20E9A5E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开 户 行</w:t>
            </w:r>
          </w:p>
        </w:tc>
        <w:tc>
          <w:tcPr>
            <w:tcW w:w="3240" w:type="dxa"/>
            <w:vAlign w:val="center"/>
          </w:tcPr>
          <w:p w14:paraId="78731C8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w:t>
            </w:r>
          </w:p>
        </w:tc>
        <w:tc>
          <w:tcPr>
            <w:tcW w:w="4602" w:type="dxa"/>
            <w:vAlign w:val="center"/>
          </w:tcPr>
          <w:p w14:paraId="7E8E309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中国建设银行股份有限公司厦门自贸试验区航空港支行</w:t>
            </w:r>
          </w:p>
        </w:tc>
      </w:tr>
      <w:tr w14:paraId="3B1FA7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vAlign w:val="center"/>
          </w:tcPr>
          <w:p w14:paraId="132BEFC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账    号</w:t>
            </w:r>
          </w:p>
        </w:tc>
        <w:tc>
          <w:tcPr>
            <w:tcW w:w="3240" w:type="dxa"/>
            <w:vAlign w:val="center"/>
          </w:tcPr>
          <w:p w14:paraId="097BC6E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w:t>
            </w:r>
          </w:p>
        </w:tc>
        <w:tc>
          <w:tcPr>
            <w:tcW w:w="4602" w:type="dxa"/>
            <w:vAlign w:val="center"/>
          </w:tcPr>
          <w:p w14:paraId="3CB8ED5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35101570201052504219</w:t>
            </w:r>
          </w:p>
        </w:tc>
      </w:tr>
      <w:tr w14:paraId="376044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vAlign w:val="center"/>
          </w:tcPr>
          <w:p w14:paraId="40F35CB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户名</w:t>
            </w:r>
          </w:p>
        </w:tc>
        <w:tc>
          <w:tcPr>
            <w:tcW w:w="7842" w:type="dxa"/>
            <w:gridSpan w:val="2"/>
            <w:vAlign w:val="center"/>
          </w:tcPr>
          <w:p w14:paraId="04851D2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tc>
      </w:tr>
    </w:tbl>
    <w:p w14:paraId="0C71E7A6">
      <w:pPr>
        <w:spacing w:line="360" w:lineRule="auto"/>
        <w:ind w:firstLine="360"/>
        <w:rPr>
          <w:rFonts w:ascii="宋体" w:hAnsi="宋体" w:cs="宋体"/>
          <w:b/>
          <w:color w:val="auto"/>
          <w:sz w:val="24"/>
          <w:szCs w:val="24"/>
          <w:highlight w:val="none"/>
        </w:rPr>
      </w:pPr>
      <w:r>
        <w:rPr>
          <w:rFonts w:hint="eastAsia" w:ascii="宋体" w:hAnsi="宋体" w:cs="宋体"/>
          <w:color w:val="auto"/>
          <w:sz w:val="24"/>
          <w:szCs w:val="24"/>
          <w:highlight w:val="none"/>
        </w:rPr>
        <w:t>注：投标人须将相关的费用缴交至上表对应的账号，缴错账号而产生的一切后果由投标人自行承担。</w:t>
      </w:r>
    </w:p>
    <w:p w14:paraId="552DB3D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招标代理机构：厦门万翔招标有限公司 </w:t>
      </w:r>
    </w:p>
    <w:p w14:paraId="480BA98F">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 xml:space="preserve">地  址：厦门市湖里区机场北路476号四楼 </w:t>
      </w:r>
    </w:p>
    <w:p w14:paraId="56633F66">
      <w:pPr>
        <w:tabs>
          <w:tab w:val="left" w:pos="2775"/>
        </w:tabs>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邮  编： 361006</w:t>
      </w:r>
    </w:p>
    <w:p w14:paraId="41E4BF85">
      <w:pPr>
        <w:spacing w:line="360" w:lineRule="auto"/>
        <w:ind w:firstLine="465"/>
        <w:rPr>
          <w:rFonts w:ascii="宋体" w:hAnsi="宋体" w:cs="宋体"/>
          <w:color w:val="auto"/>
          <w:sz w:val="24"/>
          <w:szCs w:val="24"/>
          <w:highlight w:val="none"/>
        </w:rPr>
      </w:pPr>
      <w:r>
        <w:rPr>
          <w:rFonts w:hint="eastAsia" w:ascii="宋体" w:hAnsi="宋体" w:cs="宋体"/>
          <w:color w:val="auto"/>
          <w:kern w:val="0"/>
          <w:sz w:val="24"/>
          <w:szCs w:val="24"/>
          <w:highlight w:val="none"/>
        </w:rPr>
        <w:t>合同款项事宜联系人：廖小姐</w:t>
      </w:r>
      <w:r>
        <w:rPr>
          <w:rFonts w:ascii="宋体" w:hAnsi="宋体" w:cs="宋体"/>
          <w:color w:val="auto"/>
          <w:kern w:val="0"/>
          <w:sz w:val="24"/>
          <w:szCs w:val="24"/>
          <w:highlight w:val="none"/>
        </w:rPr>
        <w:t>0592-5771115</w:t>
      </w:r>
    </w:p>
    <w:p w14:paraId="6212DD47">
      <w:pPr>
        <w:tabs>
          <w:tab w:val="left" w:pos="2775"/>
        </w:tabs>
        <w:spacing w:line="360" w:lineRule="auto"/>
        <w:ind w:firstLine="480"/>
        <w:rPr>
          <w:rFonts w:ascii="宋体" w:hAnsi="宋体" w:cs="宋体"/>
          <w:color w:val="auto"/>
          <w:sz w:val="24"/>
          <w:szCs w:val="24"/>
          <w:highlight w:val="none"/>
        </w:rPr>
      </w:pPr>
    </w:p>
    <w:p w14:paraId="0CB7778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14:paraId="2B6D07EB">
      <w:pPr>
        <w:spacing w:line="360" w:lineRule="auto"/>
        <w:rPr>
          <w:rFonts w:ascii="宋体" w:hAnsi="宋体" w:cs="宋体"/>
          <w:color w:val="auto"/>
          <w:sz w:val="24"/>
          <w:szCs w:val="24"/>
          <w:highlight w:val="none"/>
        </w:rPr>
      </w:pPr>
    </w:p>
    <w:p w14:paraId="71808597">
      <w:pPr>
        <w:spacing w:line="360" w:lineRule="auto"/>
        <w:rPr>
          <w:rFonts w:ascii="宋体" w:hAnsi="宋体" w:cs="宋体"/>
          <w:color w:val="auto"/>
          <w:sz w:val="32"/>
          <w:szCs w:val="32"/>
          <w:highlight w:val="none"/>
        </w:rPr>
      </w:pPr>
      <w:r>
        <w:rPr>
          <w:rFonts w:hint="eastAsia" w:ascii="宋体" w:hAnsi="宋体" w:cs="宋体"/>
          <w:color w:val="auto"/>
          <w:sz w:val="32"/>
          <w:szCs w:val="32"/>
          <w:highlight w:val="none"/>
        </w:rPr>
        <w:t>附：招标货物(服务)一览表</w:t>
      </w:r>
    </w:p>
    <w:p w14:paraId="47C6C69E">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招标货物（服务）一览表</w:t>
      </w:r>
    </w:p>
    <w:tbl>
      <w:tblPr>
        <w:tblStyle w:val="12"/>
        <w:tblW w:w="10345"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1440"/>
        <w:gridCol w:w="1419"/>
      </w:tblGrid>
      <w:tr w14:paraId="394F5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vAlign w:val="center"/>
          </w:tcPr>
          <w:p w14:paraId="69ED58FC">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vAlign w:val="center"/>
          </w:tcPr>
          <w:p w14:paraId="61361C2F">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vAlign w:val="center"/>
          </w:tcPr>
          <w:p w14:paraId="55A97272">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vAlign w:val="center"/>
          </w:tcPr>
          <w:p w14:paraId="272C81B9">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数量（台）</w:t>
            </w:r>
          </w:p>
        </w:tc>
        <w:tc>
          <w:tcPr>
            <w:tcW w:w="1620" w:type="dxa"/>
            <w:tcBorders>
              <w:top w:val="single" w:color="auto" w:sz="4" w:space="0"/>
              <w:left w:val="single" w:color="auto" w:sz="4" w:space="0"/>
              <w:bottom w:val="single" w:color="auto" w:sz="4" w:space="0"/>
              <w:right w:val="single" w:color="auto" w:sz="4" w:space="0"/>
            </w:tcBorders>
            <w:vAlign w:val="center"/>
          </w:tcPr>
          <w:p w14:paraId="59B12B7A">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vAlign w:val="center"/>
          </w:tcPr>
          <w:p w14:paraId="1F647AF8">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交货地点</w:t>
            </w:r>
          </w:p>
        </w:tc>
        <w:tc>
          <w:tcPr>
            <w:tcW w:w="1440" w:type="dxa"/>
            <w:tcBorders>
              <w:top w:val="single" w:color="auto" w:sz="4" w:space="0"/>
              <w:left w:val="single" w:color="auto" w:sz="4" w:space="0"/>
              <w:bottom w:val="single" w:color="auto" w:sz="4" w:space="0"/>
              <w:right w:val="single" w:color="auto" w:sz="4" w:space="0"/>
            </w:tcBorders>
            <w:vAlign w:val="center"/>
          </w:tcPr>
          <w:p w14:paraId="5D12F5FB">
            <w:pPr>
              <w:spacing w:line="360" w:lineRule="auto"/>
              <w:rPr>
                <w:rFonts w:ascii="宋体" w:hAnsi="宋体" w:cs="宋体"/>
                <w:b/>
                <w:bCs/>
                <w:color w:val="auto"/>
                <w:sz w:val="24"/>
                <w:szCs w:val="24"/>
                <w:highlight w:val="none"/>
              </w:rPr>
            </w:pPr>
            <w:r>
              <w:rPr>
                <w:rFonts w:ascii="宋体" w:hAnsi="宋体" w:cs="宋体"/>
                <w:b/>
                <w:bCs/>
                <w:color w:val="auto"/>
                <w:sz w:val="24"/>
                <w:szCs w:val="24"/>
                <w:highlight w:val="none"/>
              </w:rPr>
              <w:t>*</w:t>
            </w:r>
            <w:r>
              <w:rPr>
                <w:rFonts w:hint="eastAsia" w:ascii="宋体" w:hAnsi="宋体" w:cs="宋体"/>
                <w:b/>
                <w:bCs/>
                <w:color w:val="auto"/>
                <w:sz w:val="24"/>
                <w:szCs w:val="24"/>
                <w:highlight w:val="none"/>
              </w:rPr>
              <w:t>供货时间</w:t>
            </w:r>
          </w:p>
        </w:tc>
        <w:tc>
          <w:tcPr>
            <w:tcW w:w="1419" w:type="dxa"/>
            <w:tcBorders>
              <w:top w:val="single" w:color="auto" w:sz="4" w:space="0"/>
              <w:left w:val="single" w:color="auto" w:sz="4" w:space="0"/>
              <w:bottom w:val="single" w:color="auto" w:sz="4" w:space="0"/>
              <w:right w:val="single" w:color="auto" w:sz="4" w:space="0"/>
            </w:tcBorders>
            <w:vAlign w:val="center"/>
          </w:tcPr>
          <w:p w14:paraId="4B2AB6D4">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使用单位</w:t>
            </w:r>
          </w:p>
        </w:tc>
      </w:tr>
      <w:tr w14:paraId="32B78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restart"/>
            <w:tcBorders>
              <w:top w:val="single" w:color="auto" w:sz="4" w:space="0"/>
              <w:left w:val="single" w:color="auto" w:sz="4" w:space="0"/>
              <w:right w:val="single" w:color="auto" w:sz="4" w:space="0"/>
            </w:tcBorders>
            <w:vAlign w:val="center"/>
          </w:tcPr>
          <w:p w14:paraId="3DE688C1">
            <w:pPr>
              <w:spacing w:line="360" w:lineRule="auto"/>
              <w:rPr>
                <w:rFonts w:ascii="宋体" w:hAnsi="宋体" w:cs="宋体"/>
                <w:b w:val="0"/>
                <w:bCs/>
                <w:color w:val="auto"/>
                <w:sz w:val="24"/>
                <w:szCs w:val="24"/>
                <w:highlight w:val="none"/>
              </w:rPr>
            </w:pPr>
            <w:r>
              <w:rPr>
                <w:rFonts w:ascii="宋体" w:hAnsi="宋体" w:cs="宋体"/>
                <w:b w:val="0"/>
                <w:bCs/>
                <w:color w:val="auto"/>
                <w:sz w:val="24"/>
                <w:szCs w:val="24"/>
                <w:highlight w:val="none"/>
              </w:rPr>
              <w:t>XM2024-DZ0046</w:t>
            </w:r>
          </w:p>
        </w:tc>
        <w:tc>
          <w:tcPr>
            <w:tcW w:w="952" w:type="dxa"/>
            <w:tcBorders>
              <w:top w:val="single" w:color="auto" w:sz="4" w:space="0"/>
              <w:left w:val="single" w:color="auto" w:sz="4" w:space="0"/>
              <w:bottom w:val="single" w:color="auto" w:sz="4" w:space="0"/>
              <w:right w:val="single" w:color="auto" w:sz="4" w:space="0"/>
            </w:tcBorders>
            <w:vAlign w:val="center"/>
          </w:tcPr>
          <w:p w14:paraId="6727C4F7">
            <w:pPr>
              <w:spacing w:line="360" w:lineRule="auto"/>
              <w:rPr>
                <w:rFonts w:ascii="宋体" w:hAnsi="宋体" w:cs="宋体"/>
                <w:b w:val="0"/>
                <w:bCs/>
                <w:color w:val="auto"/>
                <w:sz w:val="24"/>
                <w:szCs w:val="24"/>
                <w:highlight w:val="none"/>
              </w:rPr>
            </w:pPr>
            <w:r>
              <w:rPr>
                <w:rFonts w:ascii="宋体" w:hAnsi="宋体" w:cs="宋体"/>
                <w:b w:val="0"/>
                <w:bCs/>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vAlign w:val="center"/>
          </w:tcPr>
          <w:p w14:paraId="25DC8CD8">
            <w:pPr>
              <w:spacing w:line="360" w:lineRule="auto"/>
              <w:rPr>
                <w:rFonts w:cs="宋体" w:asciiTheme="minorEastAsia" w:hAnsiTheme="minorEastAsia" w:eastAsiaTheme="minorEastAsia"/>
                <w:b w:val="0"/>
                <w:bCs/>
                <w:color w:val="auto"/>
                <w:sz w:val="24"/>
                <w:szCs w:val="24"/>
                <w:highlight w:val="none"/>
              </w:rPr>
            </w:pPr>
            <w:r>
              <w:rPr>
                <w:rFonts w:hint="eastAsia" w:cs="仿宋" w:asciiTheme="minorEastAsia" w:hAnsiTheme="minorEastAsia" w:eastAsiaTheme="minorEastAsia"/>
                <w:color w:val="auto"/>
                <w:sz w:val="24"/>
                <w:szCs w:val="24"/>
                <w:highlight w:val="none"/>
              </w:rPr>
              <w:t>教育壁挂型高拍仪</w:t>
            </w:r>
          </w:p>
        </w:tc>
        <w:tc>
          <w:tcPr>
            <w:tcW w:w="900" w:type="dxa"/>
            <w:tcBorders>
              <w:top w:val="single" w:color="auto" w:sz="4" w:space="0"/>
              <w:left w:val="single" w:color="auto" w:sz="4" w:space="0"/>
              <w:bottom w:val="single" w:color="auto" w:sz="4" w:space="0"/>
              <w:right w:val="single" w:color="auto" w:sz="4" w:space="0"/>
            </w:tcBorders>
            <w:vAlign w:val="center"/>
          </w:tcPr>
          <w:p w14:paraId="7B09D3F5">
            <w:pPr>
              <w:spacing w:line="360" w:lineRule="auto"/>
              <w:rPr>
                <w:rFonts w:cs="宋体" w:asciiTheme="minorEastAsia" w:hAnsiTheme="minorEastAsia" w:eastAsiaTheme="minorEastAsia"/>
                <w:b w:val="0"/>
                <w:bCs/>
                <w:color w:val="auto"/>
                <w:sz w:val="24"/>
                <w:szCs w:val="24"/>
                <w:highlight w:val="none"/>
              </w:rPr>
            </w:pPr>
            <w:r>
              <w:rPr>
                <w:rFonts w:cs="仿宋" w:asciiTheme="minorEastAsia" w:hAnsiTheme="minorEastAsia" w:eastAsiaTheme="minorEastAsia"/>
                <w:color w:val="auto"/>
                <w:sz w:val="24"/>
                <w:szCs w:val="24"/>
                <w:highlight w:val="none"/>
              </w:rPr>
              <w:t>4600</w:t>
            </w:r>
          </w:p>
        </w:tc>
        <w:tc>
          <w:tcPr>
            <w:tcW w:w="1620" w:type="dxa"/>
            <w:vMerge w:val="restart"/>
            <w:tcBorders>
              <w:top w:val="single" w:color="auto" w:sz="4" w:space="0"/>
              <w:left w:val="single" w:color="auto" w:sz="4" w:space="0"/>
              <w:right w:val="single" w:color="auto" w:sz="4" w:space="0"/>
            </w:tcBorders>
            <w:vAlign w:val="center"/>
          </w:tcPr>
          <w:p w14:paraId="6D847FC8">
            <w:pPr>
              <w:spacing w:line="360" w:lineRule="auto"/>
              <w:rPr>
                <w:rFonts w:ascii="宋体" w:hAnsi="宋体" w:cs="宋体"/>
                <w:b w:val="0"/>
                <w:bCs/>
                <w:color w:val="auto"/>
                <w:sz w:val="24"/>
                <w:szCs w:val="24"/>
                <w:highlight w:val="none"/>
              </w:rPr>
            </w:pPr>
            <w:r>
              <w:rPr>
                <w:rFonts w:hint="eastAsia" w:ascii="宋体" w:hAnsi="宋体" w:cs="宋体"/>
                <w:b w:val="0"/>
                <w:bCs/>
                <w:color w:val="auto"/>
                <w:sz w:val="24"/>
                <w:szCs w:val="24"/>
                <w:highlight w:val="none"/>
              </w:rPr>
              <w:t>详见招标内容及要求</w:t>
            </w:r>
          </w:p>
        </w:tc>
        <w:tc>
          <w:tcPr>
            <w:tcW w:w="1080" w:type="dxa"/>
            <w:vMerge w:val="restart"/>
            <w:tcBorders>
              <w:top w:val="single" w:color="auto" w:sz="4" w:space="0"/>
              <w:left w:val="single" w:color="auto" w:sz="4" w:space="0"/>
              <w:right w:val="single" w:color="auto" w:sz="4" w:space="0"/>
            </w:tcBorders>
            <w:vAlign w:val="center"/>
          </w:tcPr>
          <w:p w14:paraId="0A59C7C4">
            <w:pPr>
              <w:spacing w:line="360" w:lineRule="auto"/>
              <w:rPr>
                <w:rFonts w:ascii="宋体" w:hAnsi="宋体" w:cs="宋体"/>
                <w:b w:val="0"/>
                <w:bCs/>
                <w:color w:val="auto"/>
                <w:sz w:val="24"/>
                <w:szCs w:val="24"/>
                <w:highlight w:val="none"/>
              </w:rPr>
            </w:pPr>
            <w:r>
              <w:rPr>
                <w:rFonts w:hint="eastAsia" w:ascii="宋体" w:hAnsi="宋体" w:cs="宋体"/>
                <w:b w:val="0"/>
                <w:bCs/>
                <w:color w:val="auto"/>
                <w:sz w:val="24"/>
                <w:szCs w:val="24"/>
                <w:highlight w:val="none"/>
              </w:rPr>
              <w:t>使用单位指定地点</w:t>
            </w:r>
          </w:p>
        </w:tc>
        <w:tc>
          <w:tcPr>
            <w:tcW w:w="1440" w:type="dxa"/>
            <w:vMerge w:val="restart"/>
            <w:tcBorders>
              <w:top w:val="single" w:color="auto" w:sz="4" w:space="0"/>
              <w:left w:val="single" w:color="auto" w:sz="4" w:space="0"/>
              <w:right w:val="single" w:color="auto" w:sz="4" w:space="0"/>
            </w:tcBorders>
            <w:vAlign w:val="center"/>
          </w:tcPr>
          <w:p w14:paraId="7FC621A7">
            <w:pPr>
              <w:spacing w:line="360" w:lineRule="auto"/>
              <w:rPr>
                <w:rFonts w:ascii="宋体" w:hAnsi="宋体" w:cs="宋体"/>
                <w:b w:val="0"/>
                <w:bCs/>
                <w:color w:val="auto"/>
                <w:sz w:val="24"/>
                <w:szCs w:val="24"/>
                <w:highlight w:val="none"/>
              </w:rPr>
            </w:pPr>
            <w:r>
              <w:rPr>
                <w:rFonts w:hint="eastAsia" w:ascii="宋体" w:hAnsi="宋体" w:cs="宋体"/>
                <w:b/>
                <w:bCs/>
                <w:color w:val="auto"/>
                <w:sz w:val="24"/>
                <w:szCs w:val="24"/>
                <w:highlight w:val="none"/>
              </w:rPr>
              <w:t>≤</w:t>
            </w:r>
            <w:r>
              <w:rPr>
                <w:rFonts w:ascii="宋体" w:hAnsi="宋体" w:cs="宋体"/>
                <w:b/>
                <w:bCs/>
                <w:color w:val="auto"/>
                <w:sz w:val="24"/>
                <w:szCs w:val="24"/>
                <w:highlight w:val="none"/>
              </w:rPr>
              <w:t>10个日历日</w:t>
            </w:r>
          </w:p>
        </w:tc>
        <w:tc>
          <w:tcPr>
            <w:tcW w:w="1419" w:type="dxa"/>
            <w:vMerge w:val="restart"/>
            <w:tcBorders>
              <w:top w:val="single" w:color="auto" w:sz="4" w:space="0"/>
              <w:left w:val="single" w:color="auto" w:sz="4" w:space="0"/>
              <w:right w:val="single" w:color="auto" w:sz="4" w:space="0"/>
            </w:tcBorders>
            <w:vAlign w:val="center"/>
          </w:tcPr>
          <w:p w14:paraId="60DF6745">
            <w:pPr>
              <w:spacing w:line="360" w:lineRule="auto"/>
              <w:rPr>
                <w:rFonts w:ascii="宋体" w:hAnsi="宋体" w:cs="宋体"/>
                <w:b w:val="0"/>
                <w:bCs/>
                <w:color w:val="auto"/>
                <w:sz w:val="24"/>
                <w:szCs w:val="24"/>
                <w:highlight w:val="none"/>
              </w:rPr>
            </w:pPr>
            <w:r>
              <w:rPr>
                <w:rFonts w:hint="eastAsia" w:ascii="宋体" w:hAnsi="宋体" w:cs="宋体"/>
                <w:b w:val="0"/>
                <w:bCs/>
                <w:color w:val="auto"/>
                <w:sz w:val="24"/>
                <w:szCs w:val="24"/>
                <w:highlight w:val="none"/>
              </w:rPr>
              <w:t>厦门市政府机关事业单位和福建省内其他终端用户</w:t>
            </w:r>
          </w:p>
        </w:tc>
      </w:tr>
      <w:tr w14:paraId="6E58A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vAlign w:val="center"/>
          </w:tcPr>
          <w:p w14:paraId="7E6D8939">
            <w:pPr>
              <w:spacing w:line="360" w:lineRule="auto"/>
              <w:rPr>
                <w:rFonts w:ascii="宋体" w:hAnsi="宋体" w:cs="宋体"/>
                <w:b w:val="0"/>
                <w:bCs/>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vAlign w:val="center"/>
          </w:tcPr>
          <w:p w14:paraId="352625DD">
            <w:pPr>
              <w:spacing w:line="360" w:lineRule="auto"/>
              <w:rPr>
                <w:rFonts w:ascii="宋体" w:hAnsi="宋体" w:cs="宋体"/>
                <w:b w:val="0"/>
                <w:bCs/>
                <w:color w:val="auto"/>
                <w:sz w:val="24"/>
                <w:szCs w:val="24"/>
                <w:highlight w:val="none"/>
              </w:rPr>
            </w:pPr>
            <w:r>
              <w:rPr>
                <w:rFonts w:ascii="宋体" w:hAnsi="宋体" w:cs="宋体"/>
                <w:b w:val="0"/>
                <w:bCs/>
                <w:color w:val="auto"/>
                <w:sz w:val="24"/>
                <w:szCs w:val="24"/>
                <w:highlight w:val="none"/>
              </w:rPr>
              <w:t>1-2</w:t>
            </w:r>
          </w:p>
        </w:tc>
        <w:tc>
          <w:tcPr>
            <w:tcW w:w="1716" w:type="dxa"/>
            <w:tcBorders>
              <w:top w:val="single" w:color="auto" w:sz="4" w:space="0"/>
              <w:left w:val="single" w:color="auto" w:sz="4" w:space="0"/>
              <w:bottom w:val="single" w:color="auto" w:sz="4" w:space="0"/>
              <w:right w:val="single" w:color="auto" w:sz="4" w:space="0"/>
            </w:tcBorders>
            <w:vAlign w:val="center"/>
          </w:tcPr>
          <w:p w14:paraId="44FF5A77">
            <w:pPr>
              <w:spacing w:line="360" w:lineRule="auto"/>
              <w:rPr>
                <w:rFonts w:cs="宋体" w:asciiTheme="minorEastAsia" w:hAnsiTheme="minorEastAsia" w:eastAsiaTheme="minorEastAsia"/>
                <w:b w:val="0"/>
                <w:bCs/>
                <w:color w:val="auto"/>
                <w:sz w:val="24"/>
                <w:szCs w:val="24"/>
                <w:highlight w:val="none"/>
              </w:rPr>
            </w:pPr>
            <w:r>
              <w:rPr>
                <w:rFonts w:hint="eastAsia" w:cs="仿宋" w:asciiTheme="minorEastAsia" w:hAnsiTheme="minorEastAsia" w:eastAsiaTheme="minorEastAsia"/>
                <w:color w:val="auto"/>
                <w:sz w:val="24"/>
                <w:szCs w:val="24"/>
                <w:highlight w:val="none"/>
              </w:rPr>
              <w:t>教育桌面型高拍仪</w:t>
            </w:r>
          </w:p>
        </w:tc>
        <w:tc>
          <w:tcPr>
            <w:tcW w:w="900" w:type="dxa"/>
            <w:tcBorders>
              <w:top w:val="single" w:color="auto" w:sz="4" w:space="0"/>
              <w:left w:val="single" w:color="auto" w:sz="4" w:space="0"/>
              <w:bottom w:val="single" w:color="auto" w:sz="4" w:space="0"/>
              <w:right w:val="single" w:color="auto" w:sz="4" w:space="0"/>
            </w:tcBorders>
            <w:vAlign w:val="center"/>
          </w:tcPr>
          <w:p w14:paraId="18513175">
            <w:pPr>
              <w:spacing w:line="360" w:lineRule="auto"/>
              <w:rPr>
                <w:rFonts w:cs="宋体" w:asciiTheme="minorEastAsia" w:hAnsiTheme="minorEastAsia" w:eastAsiaTheme="minorEastAsia"/>
                <w:b w:val="0"/>
                <w:bCs/>
                <w:color w:val="auto"/>
                <w:sz w:val="24"/>
                <w:szCs w:val="24"/>
                <w:highlight w:val="none"/>
              </w:rPr>
            </w:pPr>
            <w:r>
              <w:rPr>
                <w:rFonts w:cs="仿宋" w:asciiTheme="minorEastAsia" w:hAnsiTheme="minorEastAsia" w:eastAsiaTheme="minorEastAsia"/>
                <w:color w:val="auto"/>
                <w:sz w:val="24"/>
                <w:szCs w:val="24"/>
                <w:highlight w:val="none"/>
              </w:rPr>
              <w:t>1000</w:t>
            </w:r>
          </w:p>
        </w:tc>
        <w:tc>
          <w:tcPr>
            <w:tcW w:w="1620" w:type="dxa"/>
            <w:vMerge w:val="continue"/>
            <w:tcBorders>
              <w:left w:val="single" w:color="auto" w:sz="4" w:space="0"/>
              <w:right w:val="single" w:color="auto" w:sz="4" w:space="0"/>
            </w:tcBorders>
            <w:vAlign w:val="center"/>
          </w:tcPr>
          <w:p w14:paraId="252B11DD">
            <w:pPr>
              <w:spacing w:line="360" w:lineRule="auto"/>
              <w:rPr>
                <w:rFonts w:ascii="宋体" w:hAnsi="宋体" w:cs="宋体"/>
                <w:b w:val="0"/>
                <w:bCs/>
                <w:color w:val="auto"/>
                <w:sz w:val="24"/>
                <w:szCs w:val="24"/>
                <w:highlight w:val="none"/>
              </w:rPr>
            </w:pPr>
          </w:p>
        </w:tc>
        <w:tc>
          <w:tcPr>
            <w:tcW w:w="1080" w:type="dxa"/>
            <w:vMerge w:val="continue"/>
            <w:tcBorders>
              <w:left w:val="single" w:color="auto" w:sz="4" w:space="0"/>
              <w:right w:val="single" w:color="auto" w:sz="4" w:space="0"/>
            </w:tcBorders>
            <w:vAlign w:val="center"/>
          </w:tcPr>
          <w:p w14:paraId="286B3666">
            <w:pPr>
              <w:spacing w:line="360" w:lineRule="auto"/>
              <w:rPr>
                <w:rFonts w:ascii="宋体" w:hAnsi="宋体" w:cs="宋体"/>
                <w:b w:val="0"/>
                <w:bCs/>
                <w:color w:val="auto"/>
                <w:sz w:val="24"/>
                <w:szCs w:val="24"/>
                <w:highlight w:val="none"/>
              </w:rPr>
            </w:pPr>
          </w:p>
        </w:tc>
        <w:tc>
          <w:tcPr>
            <w:tcW w:w="1440" w:type="dxa"/>
            <w:vMerge w:val="continue"/>
            <w:tcBorders>
              <w:left w:val="single" w:color="auto" w:sz="4" w:space="0"/>
              <w:right w:val="single" w:color="auto" w:sz="4" w:space="0"/>
            </w:tcBorders>
            <w:vAlign w:val="center"/>
          </w:tcPr>
          <w:p w14:paraId="08A0189B">
            <w:pPr>
              <w:spacing w:line="360" w:lineRule="auto"/>
              <w:rPr>
                <w:rFonts w:ascii="宋体" w:hAnsi="宋体" w:cs="宋体"/>
                <w:b w:val="0"/>
                <w:bCs/>
                <w:color w:val="auto"/>
                <w:sz w:val="24"/>
                <w:szCs w:val="24"/>
                <w:highlight w:val="none"/>
              </w:rPr>
            </w:pPr>
          </w:p>
        </w:tc>
        <w:tc>
          <w:tcPr>
            <w:tcW w:w="1419" w:type="dxa"/>
            <w:vMerge w:val="continue"/>
            <w:tcBorders>
              <w:left w:val="single" w:color="auto" w:sz="4" w:space="0"/>
              <w:right w:val="single" w:color="auto" w:sz="4" w:space="0"/>
            </w:tcBorders>
            <w:vAlign w:val="center"/>
          </w:tcPr>
          <w:p w14:paraId="67BCCA74">
            <w:pPr>
              <w:spacing w:line="360" w:lineRule="auto"/>
              <w:rPr>
                <w:rFonts w:ascii="宋体" w:hAnsi="宋体" w:cs="宋体"/>
                <w:b w:val="0"/>
                <w:bCs/>
                <w:color w:val="auto"/>
                <w:sz w:val="24"/>
                <w:szCs w:val="24"/>
                <w:highlight w:val="none"/>
              </w:rPr>
            </w:pPr>
          </w:p>
        </w:tc>
      </w:tr>
      <w:tr w14:paraId="36604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vAlign w:val="center"/>
          </w:tcPr>
          <w:p w14:paraId="5EEC8ECE">
            <w:pPr>
              <w:spacing w:line="360" w:lineRule="auto"/>
              <w:rPr>
                <w:rFonts w:ascii="宋体" w:hAnsi="宋体" w:cs="宋体"/>
                <w:b w:val="0"/>
                <w:bCs/>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vAlign w:val="center"/>
          </w:tcPr>
          <w:p w14:paraId="430084D2">
            <w:pPr>
              <w:spacing w:line="360" w:lineRule="auto"/>
              <w:rPr>
                <w:rFonts w:ascii="宋体" w:hAnsi="宋体" w:cs="宋体"/>
                <w:b w:val="0"/>
                <w:bCs/>
                <w:color w:val="auto"/>
                <w:sz w:val="24"/>
                <w:szCs w:val="24"/>
                <w:highlight w:val="none"/>
              </w:rPr>
            </w:pPr>
            <w:r>
              <w:rPr>
                <w:rFonts w:ascii="宋体" w:hAnsi="宋体" w:cs="宋体"/>
                <w:b w:val="0"/>
                <w:bCs/>
                <w:color w:val="auto"/>
                <w:sz w:val="24"/>
                <w:szCs w:val="24"/>
                <w:highlight w:val="none"/>
              </w:rPr>
              <w:t>1-3</w:t>
            </w:r>
          </w:p>
        </w:tc>
        <w:tc>
          <w:tcPr>
            <w:tcW w:w="1716" w:type="dxa"/>
            <w:tcBorders>
              <w:top w:val="single" w:color="auto" w:sz="4" w:space="0"/>
              <w:left w:val="single" w:color="auto" w:sz="4" w:space="0"/>
              <w:bottom w:val="single" w:color="auto" w:sz="4" w:space="0"/>
              <w:right w:val="single" w:color="auto" w:sz="4" w:space="0"/>
            </w:tcBorders>
            <w:vAlign w:val="center"/>
          </w:tcPr>
          <w:p w14:paraId="51046527">
            <w:pPr>
              <w:spacing w:line="360" w:lineRule="auto"/>
              <w:rPr>
                <w:rFonts w:cs="宋体" w:asciiTheme="minorEastAsia" w:hAnsiTheme="minorEastAsia" w:eastAsiaTheme="minorEastAsia"/>
                <w:b w:val="0"/>
                <w:bCs/>
                <w:color w:val="auto"/>
                <w:sz w:val="24"/>
                <w:szCs w:val="24"/>
                <w:highlight w:val="none"/>
              </w:rPr>
            </w:pPr>
            <w:r>
              <w:rPr>
                <w:rFonts w:hint="eastAsia" w:cs="仿宋" w:asciiTheme="minorEastAsia" w:hAnsiTheme="minorEastAsia" w:eastAsiaTheme="minorEastAsia"/>
                <w:color w:val="auto"/>
                <w:sz w:val="24"/>
                <w:szCs w:val="24"/>
                <w:highlight w:val="none"/>
              </w:rPr>
              <w:t>一体式</w:t>
            </w:r>
            <w:r>
              <w:rPr>
                <w:rFonts w:cs="仿宋" w:asciiTheme="minorEastAsia" w:hAnsiTheme="minorEastAsia" w:eastAsiaTheme="minorEastAsia"/>
                <w:color w:val="auto"/>
                <w:sz w:val="24"/>
                <w:szCs w:val="24"/>
                <w:highlight w:val="none"/>
              </w:rPr>
              <w:t>A4幅面</w:t>
            </w:r>
            <w:r>
              <w:rPr>
                <w:rFonts w:hint="eastAsia" w:cs="仿宋" w:asciiTheme="minorEastAsia" w:hAnsiTheme="minorEastAsia" w:eastAsiaTheme="minorEastAsia"/>
                <w:color w:val="auto"/>
                <w:sz w:val="24"/>
                <w:szCs w:val="24"/>
                <w:highlight w:val="none"/>
              </w:rPr>
              <w:t>高拍仪</w:t>
            </w:r>
          </w:p>
        </w:tc>
        <w:tc>
          <w:tcPr>
            <w:tcW w:w="900" w:type="dxa"/>
            <w:tcBorders>
              <w:top w:val="single" w:color="auto" w:sz="4" w:space="0"/>
              <w:left w:val="single" w:color="auto" w:sz="4" w:space="0"/>
              <w:bottom w:val="single" w:color="auto" w:sz="4" w:space="0"/>
              <w:right w:val="single" w:color="auto" w:sz="4" w:space="0"/>
            </w:tcBorders>
            <w:vAlign w:val="center"/>
          </w:tcPr>
          <w:p w14:paraId="34E6ABF3">
            <w:pPr>
              <w:spacing w:line="360" w:lineRule="auto"/>
              <w:rPr>
                <w:rFonts w:cs="宋体" w:asciiTheme="minorEastAsia" w:hAnsiTheme="minorEastAsia" w:eastAsiaTheme="minorEastAsia"/>
                <w:b w:val="0"/>
                <w:bCs/>
                <w:color w:val="auto"/>
                <w:sz w:val="24"/>
                <w:szCs w:val="24"/>
                <w:highlight w:val="none"/>
              </w:rPr>
            </w:pPr>
            <w:r>
              <w:rPr>
                <w:rFonts w:cs="仿宋" w:asciiTheme="minorEastAsia" w:hAnsiTheme="minorEastAsia" w:eastAsiaTheme="minorEastAsia"/>
                <w:color w:val="auto"/>
                <w:sz w:val="24"/>
                <w:szCs w:val="24"/>
                <w:highlight w:val="none"/>
              </w:rPr>
              <w:t>200</w:t>
            </w:r>
          </w:p>
        </w:tc>
        <w:tc>
          <w:tcPr>
            <w:tcW w:w="1620" w:type="dxa"/>
            <w:vMerge w:val="continue"/>
            <w:tcBorders>
              <w:left w:val="single" w:color="auto" w:sz="4" w:space="0"/>
              <w:right w:val="single" w:color="auto" w:sz="4" w:space="0"/>
            </w:tcBorders>
            <w:vAlign w:val="center"/>
          </w:tcPr>
          <w:p w14:paraId="5036B04C">
            <w:pPr>
              <w:spacing w:line="360" w:lineRule="auto"/>
              <w:rPr>
                <w:rFonts w:ascii="宋体" w:hAnsi="宋体" w:cs="宋体"/>
                <w:b w:val="0"/>
                <w:bCs/>
                <w:color w:val="auto"/>
                <w:sz w:val="24"/>
                <w:szCs w:val="24"/>
                <w:highlight w:val="none"/>
              </w:rPr>
            </w:pPr>
          </w:p>
        </w:tc>
        <w:tc>
          <w:tcPr>
            <w:tcW w:w="1080" w:type="dxa"/>
            <w:vMerge w:val="continue"/>
            <w:tcBorders>
              <w:left w:val="single" w:color="auto" w:sz="4" w:space="0"/>
              <w:right w:val="single" w:color="auto" w:sz="4" w:space="0"/>
            </w:tcBorders>
            <w:vAlign w:val="center"/>
          </w:tcPr>
          <w:p w14:paraId="154BC6D6">
            <w:pPr>
              <w:spacing w:line="360" w:lineRule="auto"/>
              <w:rPr>
                <w:rFonts w:ascii="宋体" w:hAnsi="宋体" w:cs="宋体"/>
                <w:b w:val="0"/>
                <w:bCs/>
                <w:color w:val="auto"/>
                <w:sz w:val="24"/>
                <w:szCs w:val="24"/>
                <w:highlight w:val="none"/>
              </w:rPr>
            </w:pPr>
          </w:p>
        </w:tc>
        <w:tc>
          <w:tcPr>
            <w:tcW w:w="1440" w:type="dxa"/>
            <w:vMerge w:val="continue"/>
            <w:tcBorders>
              <w:left w:val="single" w:color="auto" w:sz="4" w:space="0"/>
              <w:right w:val="single" w:color="auto" w:sz="4" w:space="0"/>
            </w:tcBorders>
            <w:vAlign w:val="center"/>
          </w:tcPr>
          <w:p w14:paraId="3D1A9A93">
            <w:pPr>
              <w:spacing w:line="360" w:lineRule="auto"/>
              <w:rPr>
                <w:rFonts w:ascii="宋体" w:hAnsi="宋体" w:cs="宋体"/>
                <w:b w:val="0"/>
                <w:bCs/>
                <w:color w:val="auto"/>
                <w:sz w:val="24"/>
                <w:szCs w:val="24"/>
                <w:highlight w:val="none"/>
              </w:rPr>
            </w:pPr>
          </w:p>
        </w:tc>
        <w:tc>
          <w:tcPr>
            <w:tcW w:w="1419" w:type="dxa"/>
            <w:vMerge w:val="continue"/>
            <w:tcBorders>
              <w:left w:val="single" w:color="auto" w:sz="4" w:space="0"/>
              <w:right w:val="single" w:color="auto" w:sz="4" w:space="0"/>
            </w:tcBorders>
            <w:vAlign w:val="center"/>
          </w:tcPr>
          <w:p w14:paraId="64A48C44">
            <w:pPr>
              <w:spacing w:line="360" w:lineRule="auto"/>
              <w:rPr>
                <w:rFonts w:ascii="宋体" w:hAnsi="宋体" w:cs="宋体"/>
                <w:b w:val="0"/>
                <w:bCs/>
                <w:color w:val="auto"/>
                <w:sz w:val="24"/>
                <w:szCs w:val="24"/>
                <w:highlight w:val="none"/>
              </w:rPr>
            </w:pPr>
          </w:p>
        </w:tc>
      </w:tr>
      <w:tr w14:paraId="75A5F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bottom w:val="single" w:color="auto" w:sz="4" w:space="0"/>
              <w:right w:val="single" w:color="auto" w:sz="4" w:space="0"/>
            </w:tcBorders>
            <w:vAlign w:val="center"/>
          </w:tcPr>
          <w:p w14:paraId="43F90D7C">
            <w:pPr>
              <w:spacing w:line="360" w:lineRule="auto"/>
              <w:rPr>
                <w:rFonts w:ascii="宋体" w:hAnsi="宋体" w:cs="宋体"/>
                <w:b w:val="0"/>
                <w:bCs/>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vAlign w:val="center"/>
          </w:tcPr>
          <w:p w14:paraId="14147F7D">
            <w:pPr>
              <w:spacing w:line="360" w:lineRule="auto"/>
              <w:rPr>
                <w:rFonts w:ascii="宋体" w:hAnsi="宋体" w:cs="宋体"/>
                <w:b w:val="0"/>
                <w:bCs/>
                <w:color w:val="auto"/>
                <w:sz w:val="24"/>
                <w:szCs w:val="24"/>
                <w:highlight w:val="none"/>
              </w:rPr>
            </w:pPr>
            <w:r>
              <w:rPr>
                <w:rFonts w:ascii="宋体" w:hAnsi="宋体" w:cs="宋体"/>
                <w:b w:val="0"/>
                <w:bCs/>
                <w:color w:val="auto"/>
                <w:sz w:val="24"/>
                <w:szCs w:val="24"/>
                <w:highlight w:val="none"/>
              </w:rPr>
              <w:t>1-4</w:t>
            </w:r>
          </w:p>
        </w:tc>
        <w:tc>
          <w:tcPr>
            <w:tcW w:w="1716" w:type="dxa"/>
            <w:tcBorders>
              <w:top w:val="single" w:color="auto" w:sz="4" w:space="0"/>
              <w:left w:val="single" w:color="auto" w:sz="4" w:space="0"/>
              <w:bottom w:val="single" w:color="auto" w:sz="4" w:space="0"/>
              <w:right w:val="single" w:color="auto" w:sz="4" w:space="0"/>
            </w:tcBorders>
            <w:vAlign w:val="center"/>
          </w:tcPr>
          <w:p w14:paraId="4AD4F36B">
            <w:pPr>
              <w:spacing w:line="360" w:lineRule="auto"/>
              <w:rPr>
                <w:rFonts w:cs="宋体" w:asciiTheme="minorEastAsia" w:hAnsiTheme="minorEastAsia" w:eastAsiaTheme="minorEastAsia"/>
                <w:b w:val="0"/>
                <w:bCs/>
                <w:color w:val="auto"/>
                <w:sz w:val="24"/>
                <w:szCs w:val="24"/>
                <w:highlight w:val="none"/>
              </w:rPr>
            </w:pPr>
            <w:r>
              <w:rPr>
                <w:rFonts w:hint="eastAsia" w:cs="仿宋" w:asciiTheme="minorEastAsia" w:hAnsiTheme="minorEastAsia" w:eastAsiaTheme="minorEastAsia"/>
                <w:color w:val="auto"/>
                <w:sz w:val="24"/>
                <w:szCs w:val="24"/>
                <w:highlight w:val="none"/>
              </w:rPr>
              <w:t>一体式</w:t>
            </w:r>
            <w:r>
              <w:rPr>
                <w:rFonts w:cs="仿宋" w:asciiTheme="minorEastAsia" w:hAnsiTheme="minorEastAsia" w:eastAsiaTheme="minorEastAsia"/>
                <w:color w:val="auto"/>
                <w:sz w:val="24"/>
                <w:szCs w:val="24"/>
                <w:highlight w:val="none"/>
              </w:rPr>
              <w:t>A4幅面内置身份证读卡器</w:t>
            </w:r>
            <w:r>
              <w:rPr>
                <w:rFonts w:hint="eastAsia" w:cs="仿宋" w:asciiTheme="minorEastAsia" w:hAnsiTheme="minorEastAsia" w:eastAsiaTheme="minorEastAsia"/>
                <w:color w:val="auto"/>
                <w:sz w:val="24"/>
                <w:szCs w:val="24"/>
                <w:highlight w:val="none"/>
              </w:rPr>
              <w:t>高拍仪</w:t>
            </w:r>
          </w:p>
        </w:tc>
        <w:tc>
          <w:tcPr>
            <w:tcW w:w="900" w:type="dxa"/>
            <w:tcBorders>
              <w:top w:val="single" w:color="auto" w:sz="4" w:space="0"/>
              <w:left w:val="single" w:color="auto" w:sz="4" w:space="0"/>
              <w:bottom w:val="single" w:color="auto" w:sz="4" w:space="0"/>
              <w:right w:val="single" w:color="auto" w:sz="4" w:space="0"/>
            </w:tcBorders>
            <w:vAlign w:val="center"/>
          </w:tcPr>
          <w:p w14:paraId="6C75C94C">
            <w:pPr>
              <w:spacing w:line="360" w:lineRule="auto"/>
              <w:rPr>
                <w:rFonts w:cs="宋体" w:asciiTheme="minorEastAsia" w:hAnsiTheme="minorEastAsia" w:eastAsiaTheme="minorEastAsia"/>
                <w:b w:val="0"/>
                <w:bCs/>
                <w:color w:val="auto"/>
                <w:sz w:val="24"/>
                <w:szCs w:val="24"/>
                <w:highlight w:val="none"/>
              </w:rPr>
            </w:pPr>
            <w:r>
              <w:rPr>
                <w:rFonts w:cs="仿宋" w:asciiTheme="minorEastAsia" w:hAnsiTheme="minorEastAsia" w:eastAsiaTheme="minorEastAsia"/>
                <w:color w:val="auto"/>
                <w:sz w:val="24"/>
                <w:szCs w:val="24"/>
                <w:highlight w:val="none"/>
              </w:rPr>
              <w:t>100</w:t>
            </w:r>
          </w:p>
        </w:tc>
        <w:tc>
          <w:tcPr>
            <w:tcW w:w="1620" w:type="dxa"/>
            <w:vMerge w:val="continue"/>
            <w:tcBorders>
              <w:left w:val="single" w:color="auto" w:sz="4" w:space="0"/>
              <w:bottom w:val="single" w:color="auto" w:sz="4" w:space="0"/>
              <w:right w:val="single" w:color="auto" w:sz="4" w:space="0"/>
            </w:tcBorders>
            <w:vAlign w:val="center"/>
          </w:tcPr>
          <w:p w14:paraId="18F656F6">
            <w:pPr>
              <w:spacing w:line="360" w:lineRule="auto"/>
              <w:rPr>
                <w:rFonts w:ascii="宋体" w:hAnsi="宋体" w:cs="宋体"/>
                <w:b w:val="0"/>
                <w:bCs/>
                <w:color w:val="auto"/>
                <w:sz w:val="24"/>
                <w:szCs w:val="24"/>
                <w:highlight w:val="none"/>
              </w:rPr>
            </w:pPr>
          </w:p>
        </w:tc>
        <w:tc>
          <w:tcPr>
            <w:tcW w:w="1080" w:type="dxa"/>
            <w:vMerge w:val="continue"/>
            <w:tcBorders>
              <w:left w:val="single" w:color="auto" w:sz="4" w:space="0"/>
              <w:bottom w:val="single" w:color="auto" w:sz="4" w:space="0"/>
              <w:right w:val="single" w:color="auto" w:sz="4" w:space="0"/>
            </w:tcBorders>
            <w:vAlign w:val="center"/>
          </w:tcPr>
          <w:p w14:paraId="3C77C578">
            <w:pPr>
              <w:spacing w:line="360" w:lineRule="auto"/>
              <w:rPr>
                <w:rFonts w:ascii="宋体" w:hAnsi="宋体" w:cs="宋体"/>
                <w:b w:val="0"/>
                <w:bCs/>
                <w:color w:val="auto"/>
                <w:sz w:val="24"/>
                <w:szCs w:val="24"/>
                <w:highlight w:val="none"/>
              </w:rPr>
            </w:pPr>
          </w:p>
        </w:tc>
        <w:tc>
          <w:tcPr>
            <w:tcW w:w="1440" w:type="dxa"/>
            <w:vMerge w:val="continue"/>
            <w:tcBorders>
              <w:left w:val="single" w:color="auto" w:sz="4" w:space="0"/>
              <w:bottom w:val="single" w:color="auto" w:sz="4" w:space="0"/>
              <w:right w:val="single" w:color="auto" w:sz="4" w:space="0"/>
            </w:tcBorders>
            <w:vAlign w:val="center"/>
          </w:tcPr>
          <w:p w14:paraId="3E326039">
            <w:pPr>
              <w:spacing w:line="360" w:lineRule="auto"/>
              <w:rPr>
                <w:rFonts w:ascii="宋体" w:hAnsi="宋体" w:cs="宋体"/>
                <w:b w:val="0"/>
                <w:bCs/>
                <w:color w:val="auto"/>
                <w:sz w:val="24"/>
                <w:szCs w:val="24"/>
                <w:highlight w:val="none"/>
              </w:rPr>
            </w:pPr>
          </w:p>
        </w:tc>
        <w:tc>
          <w:tcPr>
            <w:tcW w:w="1419" w:type="dxa"/>
            <w:vMerge w:val="continue"/>
            <w:tcBorders>
              <w:left w:val="single" w:color="auto" w:sz="4" w:space="0"/>
              <w:bottom w:val="single" w:color="auto" w:sz="4" w:space="0"/>
              <w:right w:val="single" w:color="auto" w:sz="4" w:space="0"/>
            </w:tcBorders>
            <w:vAlign w:val="center"/>
          </w:tcPr>
          <w:p w14:paraId="1310C535">
            <w:pPr>
              <w:spacing w:line="360" w:lineRule="auto"/>
              <w:rPr>
                <w:rFonts w:ascii="宋体" w:hAnsi="宋体" w:cs="宋体"/>
                <w:b w:val="0"/>
                <w:bCs/>
                <w:color w:val="auto"/>
                <w:sz w:val="24"/>
                <w:szCs w:val="24"/>
                <w:highlight w:val="none"/>
              </w:rPr>
            </w:pPr>
          </w:p>
        </w:tc>
      </w:tr>
    </w:tbl>
    <w:p w14:paraId="6A1A569E">
      <w:pPr>
        <w:pStyle w:val="6"/>
        <w:tabs>
          <w:tab w:val="left" w:pos="8360"/>
        </w:tabs>
        <w:spacing w:line="360" w:lineRule="auto"/>
        <w:jc w:val="left"/>
        <w:rPr>
          <w:rFonts w:hAnsi="宋体" w:cs="宋体"/>
          <w:color w:val="auto"/>
          <w:sz w:val="24"/>
          <w:szCs w:val="24"/>
          <w:highlight w:val="none"/>
        </w:rPr>
      </w:pPr>
    </w:p>
    <w:p w14:paraId="13740F18">
      <w:pPr>
        <w:pStyle w:val="6"/>
        <w:tabs>
          <w:tab w:val="left" w:pos="8360"/>
        </w:tabs>
        <w:spacing w:line="360" w:lineRule="auto"/>
        <w:jc w:val="left"/>
        <w:rPr>
          <w:rFonts w:hAnsi="宋体" w:cs="宋体"/>
          <w:color w:val="auto"/>
          <w:sz w:val="24"/>
          <w:szCs w:val="24"/>
          <w:highlight w:val="none"/>
        </w:rPr>
      </w:pPr>
      <w:r>
        <w:rPr>
          <w:rFonts w:hint="eastAsia" w:hAnsi="宋体" w:cs="宋体"/>
          <w:color w:val="auto"/>
          <w:sz w:val="24"/>
          <w:szCs w:val="24"/>
          <w:highlight w:val="none"/>
        </w:rPr>
        <w:t>注：投标人可按合同包投标，对同一合同包内所有品目号内容投标时必须完整。评标与授标以合同包为单位。</w:t>
      </w:r>
    </w:p>
    <w:p w14:paraId="34522949">
      <w:pPr>
        <w:pStyle w:val="6"/>
        <w:tabs>
          <w:tab w:val="left" w:pos="8360"/>
        </w:tabs>
        <w:spacing w:line="360" w:lineRule="auto"/>
        <w:jc w:val="left"/>
        <w:rPr>
          <w:rFonts w:hAnsi="宋体" w:cs="宋体"/>
          <w:color w:val="auto"/>
          <w:sz w:val="24"/>
          <w:szCs w:val="24"/>
          <w:highlight w:val="none"/>
        </w:rPr>
      </w:pPr>
    </w:p>
    <w:p w14:paraId="4185B7AB">
      <w:pPr>
        <w:pStyle w:val="6"/>
        <w:tabs>
          <w:tab w:val="left" w:pos="8360"/>
        </w:tabs>
        <w:spacing w:line="360" w:lineRule="auto"/>
        <w:jc w:val="left"/>
        <w:rPr>
          <w:rFonts w:hAnsi="宋体" w:cs="宋体"/>
          <w:color w:val="auto"/>
          <w:sz w:val="24"/>
          <w:szCs w:val="24"/>
          <w:highlight w:val="none"/>
        </w:rPr>
      </w:pPr>
      <w:bookmarkStart w:id="0" w:name="_GoBack"/>
      <w:bookmarkEnd w:id="0"/>
    </w:p>
    <w:p w14:paraId="3802F1FC">
      <w:pPr>
        <w:pStyle w:val="6"/>
        <w:tabs>
          <w:tab w:val="left" w:pos="8360"/>
        </w:tabs>
        <w:spacing w:line="360" w:lineRule="auto"/>
        <w:jc w:val="left"/>
        <w:rPr>
          <w:rFonts w:hAnsi="宋体" w:cs="宋体"/>
          <w:color w:val="auto"/>
          <w:sz w:val="24"/>
          <w:szCs w:val="24"/>
          <w:highlight w:val="none"/>
        </w:rPr>
      </w:pPr>
    </w:p>
    <w:p w14:paraId="732E524B">
      <w:pPr>
        <w:pStyle w:val="6"/>
        <w:tabs>
          <w:tab w:val="left" w:pos="8360"/>
        </w:tabs>
        <w:spacing w:line="360" w:lineRule="auto"/>
        <w:jc w:val="left"/>
        <w:rPr>
          <w:rFonts w:hAnsi="宋体" w:cs="宋体"/>
          <w:color w:val="auto"/>
          <w:sz w:val="24"/>
          <w:szCs w:val="24"/>
          <w:highlight w:val="none"/>
        </w:rPr>
      </w:pPr>
    </w:p>
    <w:p w14:paraId="5E6631E5">
      <w:pPr>
        <w:pStyle w:val="4"/>
        <w:spacing w:line="360" w:lineRule="auto"/>
        <w:ind w:firstLine="0"/>
        <w:rPr>
          <w:rFonts w:ascii="宋体" w:hAnsi="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47AF29C9">
      <w:pPr>
        <w:pStyle w:val="16"/>
        <w:spacing w:line="360" w:lineRule="auto"/>
        <w:jc w:val="center"/>
        <w:rPr>
          <w:rFonts w:hAnsi="宋体" w:cs="宋体"/>
          <w:b/>
          <w:color w:val="auto"/>
          <w:sz w:val="32"/>
          <w:szCs w:val="32"/>
          <w:highlight w:val="none"/>
        </w:rPr>
      </w:pPr>
      <w:r>
        <w:rPr>
          <w:rFonts w:hint="eastAsia" w:hAnsi="宋体" w:cs="宋体"/>
          <w:b/>
          <w:color w:val="auto"/>
          <w:sz w:val="32"/>
          <w:szCs w:val="32"/>
          <w:highlight w:val="none"/>
        </w:rPr>
        <w:t>第二章  投标人须知</w:t>
      </w:r>
    </w:p>
    <w:p w14:paraId="1764060C">
      <w:pPr>
        <w:pStyle w:val="16"/>
        <w:spacing w:line="360" w:lineRule="auto"/>
        <w:jc w:val="center"/>
        <w:rPr>
          <w:rFonts w:hAnsi="宋体" w:cs="宋体"/>
          <w:color w:val="auto"/>
          <w:sz w:val="32"/>
          <w:szCs w:val="32"/>
          <w:highlight w:val="none"/>
        </w:rPr>
      </w:pPr>
      <w:r>
        <w:rPr>
          <w:rFonts w:hint="eastAsia" w:hAnsi="宋体" w:cs="宋体"/>
          <w:b/>
          <w:color w:val="auto"/>
          <w:sz w:val="32"/>
          <w:szCs w:val="32"/>
          <w:highlight w:val="none"/>
        </w:rPr>
        <w:t>投标人须知前附表1</w:t>
      </w:r>
    </w:p>
    <w:p w14:paraId="6F5CB901">
      <w:pPr>
        <w:spacing w:line="360" w:lineRule="auto"/>
        <w:ind w:firstLine="527"/>
        <w:rPr>
          <w:rFonts w:ascii="宋体" w:hAnsi="宋体" w:cs="宋体"/>
          <w:color w:val="auto"/>
          <w:sz w:val="24"/>
          <w:szCs w:val="24"/>
          <w:highlight w:val="none"/>
        </w:rPr>
      </w:pPr>
      <w:r>
        <w:rPr>
          <w:rFonts w:hint="eastAsia" w:ascii="宋体" w:hAnsi="宋体" w:cs="宋体"/>
          <w:color w:val="auto"/>
          <w:sz w:val="24"/>
          <w:szCs w:val="24"/>
          <w:highlight w:val="none"/>
        </w:rPr>
        <w:t>本须知前附表1的条款号是与</w:t>
      </w:r>
      <w:r>
        <w:rPr>
          <w:rFonts w:ascii="宋体" w:hAnsi="宋体" w:cs="宋体"/>
          <w:color w:val="auto"/>
          <w:sz w:val="24"/>
          <w:szCs w:val="24"/>
          <w:highlight w:val="none"/>
        </w:rPr>
        <w:t>固定部分第二章</w:t>
      </w:r>
      <w:r>
        <w:rPr>
          <w:rFonts w:hint="eastAsia" w:ascii="宋体" w:hAnsi="宋体" w:cs="宋体"/>
          <w:color w:val="auto"/>
          <w:sz w:val="24"/>
          <w:szCs w:val="24"/>
          <w:highlight w:val="none"/>
        </w:rPr>
        <w:t xml:space="preserve">《投标人须知》中条款的项号相对应的。如有矛盾，应以本须知前附表为准。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2AC5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tcPr>
          <w:p w14:paraId="332A309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1080" w:type="dxa"/>
          </w:tcPr>
          <w:p w14:paraId="67BCA4F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7380" w:type="dxa"/>
          </w:tcPr>
          <w:p w14:paraId="523E567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编   列   内    容</w:t>
            </w:r>
          </w:p>
        </w:tc>
      </w:tr>
      <w:tr w14:paraId="798D4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vAlign w:val="center"/>
          </w:tcPr>
          <w:p w14:paraId="3408373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1080" w:type="dxa"/>
            <w:vAlign w:val="center"/>
          </w:tcPr>
          <w:p w14:paraId="6F83B20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7380" w:type="dxa"/>
            <w:vAlign w:val="center"/>
          </w:tcPr>
          <w:p w14:paraId="1055AEA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项目名称：</w:t>
            </w:r>
            <w:r>
              <w:rPr>
                <w:rFonts w:ascii="宋体" w:hAnsi="宋体" w:cs="宋体"/>
                <w:b w:val="0"/>
                <w:color w:val="auto"/>
                <w:sz w:val="24"/>
                <w:szCs w:val="24"/>
                <w:highlight w:val="none"/>
                <w:u w:val="none"/>
              </w:rPr>
              <w:t>2024年度大宗</w:t>
            </w:r>
            <w:r>
              <w:rPr>
                <w:rFonts w:hint="eastAsia" w:ascii="宋体" w:hAnsi="宋体" w:cs="宋体"/>
                <w:b w:val="0"/>
                <w:color w:val="auto"/>
                <w:sz w:val="24"/>
                <w:szCs w:val="24"/>
                <w:highlight w:val="none"/>
                <w:u w:val="none"/>
              </w:rPr>
              <w:t>高拍仪采购</w:t>
            </w:r>
          </w:p>
          <w:p w14:paraId="07BBF93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526221C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14:paraId="3B39271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项目内容：2024年度大宗高拍仪采购</w:t>
            </w:r>
          </w:p>
          <w:p w14:paraId="09561743">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rPr>
              <w:t>XM2024-DZ0046</w:t>
            </w:r>
          </w:p>
        </w:tc>
      </w:tr>
      <w:tr w14:paraId="5EE7E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vAlign w:val="center"/>
          </w:tcPr>
          <w:p w14:paraId="2D552CC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1080" w:type="dxa"/>
            <w:vAlign w:val="center"/>
          </w:tcPr>
          <w:p w14:paraId="57DC572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7380" w:type="dxa"/>
            <w:vAlign w:val="center"/>
          </w:tcPr>
          <w:p w14:paraId="369A6DC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资格标准：</w:t>
            </w:r>
          </w:p>
          <w:p w14:paraId="086C99D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详见第二章《投标人须知》第3条，以及第三章《招标内容及要求》有关内容。</w:t>
            </w:r>
          </w:p>
        </w:tc>
      </w:tr>
      <w:tr w14:paraId="57F62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14:paraId="428C5A2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1080" w:type="dxa"/>
            <w:vAlign w:val="center"/>
          </w:tcPr>
          <w:p w14:paraId="399D0B4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7380" w:type="dxa"/>
            <w:vAlign w:val="center"/>
          </w:tcPr>
          <w:p w14:paraId="4E33BD1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投标有效期：投标截止之日起</w:t>
            </w:r>
            <w:r>
              <w:rPr>
                <w:rFonts w:hint="eastAsia" w:ascii="宋体" w:hAnsi="宋体" w:cs="宋体"/>
                <w:color w:val="auto"/>
                <w:sz w:val="24"/>
                <w:szCs w:val="24"/>
                <w:highlight w:val="none"/>
                <w:u w:val="single"/>
              </w:rPr>
              <w:t>180</w:t>
            </w:r>
            <w:r>
              <w:rPr>
                <w:rFonts w:hint="eastAsia" w:ascii="宋体" w:hAnsi="宋体" w:cs="宋体"/>
                <w:color w:val="auto"/>
                <w:sz w:val="24"/>
                <w:szCs w:val="24"/>
                <w:highlight w:val="none"/>
              </w:rPr>
              <w:t>个日历日。</w:t>
            </w:r>
          </w:p>
          <w:p w14:paraId="2DCD6A5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有效期不足将导致其投标文件被拒绝。</w:t>
            </w:r>
          </w:p>
        </w:tc>
      </w:tr>
      <w:tr w14:paraId="27283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14:paraId="47BCD82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1080" w:type="dxa"/>
            <w:vAlign w:val="center"/>
          </w:tcPr>
          <w:p w14:paraId="4C090A6F">
            <w:pPr>
              <w:spacing w:line="360" w:lineRule="auto"/>
              <w:jc w:val="center"/>
              <w:rPr>
                <w:rFonts w:ascii="宋体" w:hAnsi="宋体" w:cs="宋体"/>
                <w:color w:val="auto"/>
                <w:sz w:val="24"/>
                <w:szCs w:val="24"/>
                <w:highlight w:val="none"/>
              </w:rPr>
            </w:pPr>
          </w:p>
        </w:tc>
        <w:tc>
          <w:tcPr>
            <w:tcW w:w="7380" w:type="dxa"/>
            <w:vAlign w:val="center"/>
          </w:tcPr>
          <w:p w14:paraId="6CE3CC2C">
            <w:pPr>
              <w:widowControl/>
              <w:spacing w:line="360" w:lineRule="auto"/>
              <w:jc w:val="left"/>
              <w:rPr>
                <w:rFonts w:ascii="宋体" w:hAnsi="宋体" w:cs="宋体"/>
                <w:b/>
                <w:color w:val="auto"/>
                <w:sz w:val="24"/>
                <w:szCs w:val="24"/>
                <w:highlight w:val="none"/>
                <w:u w:val="single"/>
              </w:rPr>
            </w:pPr>
            <w:r>
              <w:rPr>
                <w:rFonts w:hint="eastAsia" w:ascii="宋体" w:hAnsi="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4</w:t>
            </w:r>
            <w:r>
              <w:rPr>
                <w:rFonts w:hint="eastAsia" w:ascii="宋体" w:hAnsi="宋体" w:cs="宋体"/>
                <w:b/>
                <w:color w:val="auto"/>
                <w:sz w:val="24"/>
                <w:szCs w:val="24"/>
                <w:highlight w:val="none"/>
                <w:u w:val="single"/>
              </w:rPr>
              <w:t>号收标窗口</w:t>
            </w:r>
            <w:r>
              <w:rPr>
                <w:rFonts w:hint="eastAsia" w:ascii="宋体" w:hAnsi="宋体" w:cs="宋体"/>
                <w:color w:val="auto"/>
                <w:kern w:val="0"/>
                <w:sz w:val="24"/>
                <w:szCs w:val="24"/>
                <w:highlight w:val="none"/>
              </w:rPr>
              <w:t>。</w:t>
            </w:r>
          </w:p>
          <w:p w14:paraId="73D432DE">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陈小姐、陈小姐</w:t>
            </w:r>
          </w:p>
        </w:tc>
      </w:tr>
      <w:tr w14:paraId="678E9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14:paraId="69558AB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1080" w:type="dxa"/>
            <w:vAlign w:val="center"/>
          </w:tcPr>
          <w:p w14:paraId="4D12D74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7380" w:type="dxa"/>
            <w:vAlign w:val="center"/>
          </w:tcPr>
          <w:p w14:paraId="4F78897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投标保证金：</w:t>
            </w:r>
            <w:r>
              <w:rPr>
                <w:rFonts w:hint="eastAsia" w:ascii="宋体" w:hAnsi="宋体" w:cs="宋体"/>
                <w:color w:val="auto"/>
                <w:sz w:val="24"/>
                <w:szCs w:val="24"/>
                <w:highlight w:val="none"/>
                <w:u w:val="single"/>
              </w:rPr>
              <w:t xml:space="preserve">  0元        </w:t>
            </w:r>
          </w:p>
          <w:p w14:paraId="19796D1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①投标保证金以转账、电汇两种形式提交（不收取现金、现金支票，不能用个人卡在银联支付系统转账，否则作未提交投标保证金处理）。</w:t>
            </w:r>
          </w:p>
          <w:p w14:paraId="26E8E86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②若项目存在分合同包采购的，则投标保证金应按不同的合同包号分别提交。</w:t>
            </w:r>
          </w:p>
          <w:p w14:paraId="3DD595B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③投标人为中小企业的，其投标保证金减半交纳。减半交纳投标保证金的投标人应按照招标文件格式要求在投标文件中提供《中小企业声明函》。</w:t>
            </w:r>
          </w:p>
          <w:p w14:paraId="5260C706">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④</w:t>
            </w:r>
            <w:r>
              <w:rPr>
                <w:rFonts w:hint="eastAsia" w:ascii="宋体" w:hAnsi="宋体" w:cs="宋体"/>
                <w:color w:val="auto"/>
                <w:kern w:val="0"/>
                <w:sz w:val="24"/>
                <w:szCs w:val="24"/>
                <w:highlight w:val="none"/>
              </w:rPr>
              <w:t>投标保证金应在投标截止时间前到账。</w:t>
            </w:r>
          </w:p>
          <w:p w14:paraId="06EBDCFE">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未按前述规定缴交投标保证金的，投标无效。</w:t>
            </w:r>
          </w:p>
          <w:p w14:paraId="52755AE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6656F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14:paraId="7E794AD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1080" w:type="dxa"/>
            <w:vAlign w:val="center"/>
          </w:tcPr>
          <w:p w14:paraId="361AFFA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13.1</w:t>
            </w:r>
          </w:p>
        </w:tc>
        <w:tc>
          <w:tcPr>
            <w:tcW w:w="7380" w:type="dxa"/>
            <w:vAlign w:val="center"/>
          </w:tcPr>
          <w:p w14:paraId="09C3978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投标文件份数：正本一份、副本四份</w:t>
            </w:r>
          </w:p>
        </w:tc>
      </w:tr>
      <w:tr w14:paraId="5F2B7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14:paraId="4D8838AC">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1080" w:type="dxa"/>
            <w:vAlign w:val="center"/>
          </w:tcPr>
          <w:p w14:paraId="00FF066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19.1</w:t>
            </w:r>
          </w:p>
        </w:tc>
        <w:tc>
          <w:tcPr>
            <w:tcW w:w="7380" w:type="dxa"/>
            <w:vAlign w:val="center"/>
          </w:tcPr>
          <w:p w14:paraId="0602698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评标方法、标准及定标原则(含推荐中标候选供应商数量)：</w:t>
            </w:r>
          </w:p>
          <w:p w14:paraId="2C5CAC48">
            <w:pPr>
              <w:pStyle w:val="6"/>
              <w:spacing w:line="360" w:lineRule="auto"/>
              <w:rPr>
                <w:rFonts w:hAnsi="宋体" w:cs="宋体"/>
                <w:color w:val="auto"/>
                <w:sz w:val="24"/>
                <w:szCs w:val="24"/>
                <w:highlight w:val="none"/>
              </w:rPr>
            </w:pPr>
            <w:r>
              <w:rPr>
                <w:rFonts w:hint="eastAsia" w:hAnsi="宋体" w:cs="宋体"/>
                <w:color w:val="auto"/>
                <w:sz w:val="24"/>
                <w:szCs w:val="24"/>
                <w:highlight w:val="none"/>
              </w:rPr>
              <w:t>详见《投标人须知前附表3》。</w:t>
            </w:r>
          </w:p>
        </w:tc>
      </w:tr>
      <w:tr w14:paraId="44BA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Align w:val="center"/>
          </w:tcPr>
          <w:p w14:paraId="34CABEF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1080" w:type="dxa"/>
            <w:vAlign w:val="center"/>
          </w:tcPr>
          <w:p w14:paraId="739BB462">
            <w:pPr>
              <w:spacing w:line="360" w:lineRule="auto"/>
              <w:ind w:right="-63" w:rightChars="-30"/>
              <w:rPr>
                <w:rFonts w:ascii="宋体" w:hAnsi="宋体" w:cs="宋体"/>
                <w:color w:val="auto"/>
                <w:sz w:val="24"/>
                <w:szCs w:val="24"/>
                <w:highlight w:val="none"/>
              </w:rPr>
            </w:pPr>
            <w:r>
              <w:rPr>
                <w:rFonts w:hint="eastAsia" w:ascii="宋体" w:hAnsi="宋体" w:cs="宋体"/>
                <w:color w:val="auto"/>
                <w:sz w:val="24"/>
                <w:szCs w:val="24"/>
                <w:highlight w:val="none"/>
              </w:rPr>
              <w:t>12.9</w:t>
            </w:r>
          </w:p>
        </w:tc>
        <w:tc>
          <w:tcPr>
            <w:tcW w:w="7380" w:type="dxa"/>
            <w:vAlign w:val="center"/>
          </w:tcPr>
          <w:p w14:paraId="59F7EA5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w:t>
            </w:r>
          </w:p>
          <w:p w14:paraId="2637E5D9">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1、代理服务费收费标准：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04B5E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30FC12C7">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中标金额(万元)</w:t>
                  </w:r>
                </w:p>
              </w:tc>
              <w:tc>
                <w:tcPr>
                  <w:tcW w:w="2700" w:type="dxa"/>
                </w:tcPr>
                <w:p w14:paraId="78733EEA">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费率</w:t>
                  </w:r>
                </w:p>
              </w:tc>
            </w:tr>
            <w:tr w14:paraId="258D0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1BA36C53">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[0―100]</w:t>
                  </w:r>
                </w:p>
              </w:tc>
              <w:tc>
                <w:tcPr>
                  <w:tcW w:w="2700" w:type="dxa"/>
                </w:tcPr>
                <w:p w14:paraId="153F5AF9">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1.5%</w:t>
                  </w:r>
                </w:p>
              </w:tc>
            </w:tr>
            <w:tr w14:paraId="79389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2F08E832">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（100－500]</w:t>
                  </w:r>
                </w:p>
              </w:tc>
              <w:tc>
                <w:tcPr>
                  <w:tcW w:w="2700" w:type="dxa"/>
                </w:tcPr>
                <w:p w14:paraId="4D43D26F">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1.1%</w:t>
                  </w:r>
                </w:p>
              </w:tc>
            </w:tr>
            <w:tr w14:paraId="19BFA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0007FF52">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（500-1000]</w:t>
                  </w:r>
                </w:p>
              </w:tc>
              <w:tc>
                <w:tcPr>
                  <w:tcW w:w="2700" w:type="dxa"/>
                </w:tcPr>
                <w:p w14:paraId="5339FC68">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0.8%</w:t>
                  </w:r>
                </w:p>
              </w:tc>
            </w:tr>
            <w:tr w14:paraId="085A3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3767A453">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（1000-5000]</w:t>
                  </w:r>
                </w:p>
              </w:tc>
              <w:tc>
                <w:tcPr>
                  <w:tcW w:w="2700" w:type="dxa"/>
                </w:tcPr>
                <w:p w14:paraId="68BC4446">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0.5%</w:t>
                  </w:r>
                </w:p>
              </w:tc>
            </w:tr>
            <w:tr w14:paraId="23615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3A2EDB37">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（5000-10000]</w:t>
                  </w:r>
                </w:p>
              </w:tc>
              <w:tc>
                <w:tcPr>
                  <w:tcW w:w="2700" w:type="dxa"/>
                </w:tcPr>
                <w:p w14:paraId="6FAF2BD8">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0.25%</w:t>
                  </w:r>
                </w:p>
              </w:tc>
            </w:tr>
            <w:tr w14:paraId="25C5D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6F5BAB79">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（10000-50000]</w:t>
                  </w:r>
                </w:p>
              </w:tc>
              <w:tc>
                <w:tcPr>
                  <w:tcW w:w="2700" w:type="dxa"/>
                </w:tcPr>
                <w:p w14:paraId="05596701">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0.05%</w:t>
                  </w:r>
                </w:p>
              </w:tc>
            </w:tr>
            <w:tr w14:paraId="70ACF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6CBF9A5B">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（50000-100000]</w:t>
                  </w:r>
                </w:p>
              </w:tc>
              <w:tc>
                <w:tcPr>
                  <w:tcW w:w="2700" w:type="dxa"/>
                </w:tcPr>
                <w:p w14:paraId="63DA765C">
                  <w:pPr>
                    <w:adjustRightInd w:val="0"/>
                    <w:snapToGrid w:val="0"/>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0.035%</w:t>
                  </w:r>
                </w:p>
              </w:tc>
            </w:tr>
          </w:tbl>
          <w:p w14:paraId="5DF4523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注：1、本项目代理服务费按每批次《定货单》金额的收费标准收取，中标供应商最迟在采购单位发出《定货单》之日起</w:t>
            </w:r>
            <w:r>
              <w:rPr>
                <w:rFonts w:ascii="宋体" w:hAnsi="宋体" w:cs="宋体"/>
                <w:color w:val="auto"/>
                <w:sz w:val="24"/>
                <w:szCs w:val="24"/>
                <w:highlight w:val="none"/>
              </w:rPr>
              <w:t>10个工作日内向招标代理机构缴交</w:t>
            </w:r>
            <w:r>
              <w:rPr>
                <w:rFonts w:hint="eastAsia" w:ascii="宋体" w:hAnsi="宋体" w:cs="宋体"/>
                <w:color w:val="auto"/>
                <w:sz w:val="24"/>
                <w:szCs w:val="24"/>
                <w:highlight w:val="none"/>
              </w:rPr>
              <w:t>代理服务费。代理服务费的收取按差额定率累进法计算,由中标供应商支付。中标服务费按每个《定货单》金额分别收取，《定货单》金额不予累加。</w:t>
            </w:r>
          </w:p>
          <w:p w14:paraId="7267E2A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2、中标供应商以转账或汇款方式提交。</w:t>
            </w:r>
          </w:p>
          <w:p w14:paraId="26A79B2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3、中标供应商为中小企业的，其代理服务费按照上述服务收费标准下浮10%进行支付。</w:t>
            </w:r>
          </w:p>
        </w:tc>
      </w:tr>
      <w:tr w14:paraId="5E212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48588A9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1080" w:type="dxa"/>
            <w:tcBorders>
              <w:top w:val="single" w:color="auto" w:sz="4" w:space="0"/>
              <w:left w:val="single" w:color="auto" w:sz="4" w:space="0"/>
              <w:bottom w:val="single" w:color="auto" w:sz="4" w:space="0"/>
              <w:right w:val="single" w:color="auto" w:sz="4" w:space="0"/>
            </w:tcBorders>
            <w:vAlign w:val="center"/>
          </w:tcPr>
          <w:p w14:paraId="73DDDB05">
            <w:pPr>
              <w:spacing w:line="360" w:lineRule="auto"/>
              <w:jc w:val="center"/>
              <w:rPr>
                <w:rFonts w:ascii="宋体" w:hAnsi="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vAlign w:val="center"/>
          </w:tcPr>
          <w:p w14:paraId="0228734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监督管理部门：厦门市财政局。</w:t>
            </w:r>
          </w:p>
        </w:tc>
      </w:tr>
      <w:tr w14:paraId="077B2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vAlign w:val="center"/>
          </w:tcPr>
          <w:p w14:paraId="5EF2CAD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10</w:t>
            </w:r>
          </w:p>
        </w:tc>
        <w:tc>
          <w:tcPr>
            <w:tcW w:w="1080" w:type="dxa"/>
            <w:tcBorders>
              <w:top w:val="single" w:color="auto" w:sz="4" w:space="0"/>
              <w:left w:val="single" w:color="auto" w:sz="4" w:space="0"/>
              <w:bottom w:val="single" w:color="auto" w:sz="4" w:space="0"/>
              <w:right w:val="single" w:color="auto" w:sz="4" w:space="0"/>
            </w:tcBorders>
            <w:vAlign w:val="center"/>
          </w:tcPr>
          <w:p w14:paraId="5388ED72">
            <w:pPr>
              <w:spacing w:line="360" w:lineRule="auto"/>
              <w:jc w:val="center"/>
              <w:rPr>
                <w:rFonts w:ascii="宋体" w:hAnsi="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vAlign w:val="center"/>
          </w:tcPr>
          <w:p w14:paraId="41B4CABC">
            <w:pPr>
              <w:pStyle w:val="8"/>
              <w:spacing w:line="360" w:lineRule="auto"/>
              <w:jc w:val="both"/>
              <w:rPr>
                <w:rFonts w:ascii="宋体" w:hAnsi="宋体" w:cs="宋体"/>
                <w:color w:val="auto"/>
                <w:sz w:val="24"/>
                <w:szCs w:val="24"/>
                <w:highlight w:val="none"/>
              </w:rPr>
            </w:pPr>
            <w:r>
              <w:rPr>
                <w:rFonts w:hint="eastAsia" w:ascii="宋体" w:hAnsi="宋体" w:cs="宋体"/>
                <w:color w:val="auto"/>
                <w:sz w:val="24"/>
                <w:szCs w:val="24"/>
                <w:highlight w:val="none"/>
              </w:rPr>
              <w:t>是否允许进口产品参加本采购项目：</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eq \o\ac(</w:instrText>
            </w:r>
            <w:r>
              <w:rPr>
                <w:rFonts w:hint="eastAsia" w:ascii="宋体" w:hAnsi="宋体" w:cs="宋体"/>
                <w:color w:val="auto"/>
                <w:position w:val="-4"/>
                <w:sz w:val="36"/>
                <w:szCs w:val="24"/>
                <w:highlight w:val="none"/>
              </w:rPr>
              <w:instrText xml:space="preserve">□</w:instrText>
            </w:r>
            <w:r>
              <w:rPr>
                <w:rFonts w:hint="eastAsia" w:ascii="宋体" w:hAnsi="宋体" w:cs="宋体"/>
                <w:color w:val="auto"/>
                <w:sz w:val="24"/>
                <w:szCs w:val="24"/>
                <w:highlight w:val="none"/>
              </w:rPr>
              <w:instrText xml:space="preserve">,√)</w:instrTex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否</w:t>
            </w:r>
          </w:p>
        </w:tc>
      </w:tr>
    </w:tbl>
    <w:p w14:paraId="608505D1">
      <w:pPr>
        <w:tabs>
          <w:tab w:val="left" w:pos="-1080"/>
          <w:tab w:val="left" w:pos="180"/>
          <w:tab w:val="left" w:pos="1080"/>
        </w:tabs>
        <w:spacing w:line="360" w:lineRule="auto"/>
        <w:rPr>
          <w:rFonts w:ascii="宋体" w:hAnsi="宋体" w:cs="宋体"/>
          <w:b/>
          <w:color w:val="auto"/>
          <w:sz w:val="24"/>
          <w:szCs w:val="24"/>
          <w:highlight w:val="none"/>
        </w:rPr>
      </w:pPr>
    </w:p>
    <w:p w14:paraId="6973731B">
      <w:pPr>
        <w:spacing w:line="360" w:lineRule="auto"/>
        <w:jc w:val="center"/>
        <w:rPr>
          <w:rFonts w:ascii="宋体" w:hAnsi="宋体" w:cs="宋体"/>
          <w:b/>
          <w:bCs/>
          <w:color w:val="auto"/>
          <w:sz w:val="24"/>
          <w:szCs w:val="24"/>
          <w:highlight w:val="none"/>
          <w:u w:val="single"/>
        </w:rPr>
      </w:pPr>
    </w:p>
    <w:p w14:paraId="4F3AE734">
      <w:pPr>
        <w:spacing w:line="360" w:lineRule="auto"/>
        <w:jc w:val="both"/>
        <w:rPr>
          <w:rFonts w:ascii="宋体" w:hAnsi="宋体" w:cs="宋体"/>
          <w:b/>
          <w:bCs/>
          <w:color w:val="auto"/>
          <w:sz w:val="32"/>
          <w:szCs w:val="32"/>
          <w:highlight w:val="none"/>
          <w:u w:val="single"/>
        </w:rPr>
      </w:pPr>
    </w:p>
    <w:p w14:paraId="3FD7B25B">
      <w:pPr>
        <w:spacing w:line="360" w:lineRule="auto"/>
        <w:jc w:val="center"/>
        <w:rPr>
          <w:rFonts w:ascii="宋体" w:hAnsi="宋体" w:cs="宋体"/>
          <w:b/>
          <w:bCs/>
          <w:color w:val="auto"/>
          <w:sz w:val="32"/>
          <w:szCs w:val="32"/>
          <w:highlight w:val="none"/>
          <w:u w:val="single"/>
        </w:rPr>
      </w:pPr>
      <w:r>
        <w:rPr>
          <w:rFonts w:hint="eastAsia" w:ascii="宋体" w:hAnsi="宋体" w:cs="宋体"/>
          <w:b/>
          <w:bCs/>
          <w:color w:val="auto"/>
          <w:sz w:val="32"/>
          <w:szCs w:val="32"/>
          <w:highlight w:val="none"/>
          <w:u w:val="single"/>
        </w:rPr>
        <w:t>投标人须知前附表2:资格性、符合性检查表</w:t>
      </w:r>
    </w:p>
    <w:p w14:paraId="5524102D">
      <w:pPr>
        <w:spacing w:line="360" w:lineRule="auto"/>
        <w:ind w:firstLine="527"/>
        <w:rPr>
          <w:rFonts w:ascii="宋体" w:hAnsi="宋体" w:cs="宋体"/>
          <w:color w:val="auto"/>
          <w:sz w:val="24"/>
          <w:szCs w:val="24"/>
          <w:highlight w:val="none"/>
        </w:rPr>
      </w:pPr>
      <w:r>
        <w:rPr>
          <w:rFonts w:hint="eastAsia" w:ascii="宋体" w:hAnsi="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ascii="宋体" w:hAnsi="宋体" w:cs="宋体"/>
          <w:color w:val="auto"/>
          <w:sz w:val="24"/>
          <w:szCs w:val="24"/>
          <w:highlight w:val="none"/>
        </w:rPr>
        <w:t>2</w:t>
      </w:r>
      <w:r>
        <w:rPr>
          <w:rFonts w:hint="eastAsia" w:ascii="宋体" w:hAnsi="宋体" w:cs="宋体"/>
          <w:color w:val="auto"/>
          <w:sz w:val="24"/>
          <w:szCs w:val="24"/>
          <w:highlight w:val="none"/>
        </w:rPr>
        <w:t>的条款号是与</w:t>
      </w:r>
      <w:r>
        <w:rPr>
          <w:rFonts w:ascii="宋体" w:hAnsi="宋体" w:cs="宋体"/>
          <w:color w:val="auto"/>
          <w:sz w:val="24"/>
          <w:szCs w:val="24"/>
          <w:highlight w:val="none"/>
        </w:rPr>
        <w:t>固定部分第二章</w:t>
      </w:r>
      <w:r>
        <w:rPr>
          <w:rFonts w:hint="eastAsia" w:ascii="宋体" w:hAnsi="宋体" w:cs="宋体"/>
          <w:color w:val="auto"/>
          <w:sz w:val="24"/>
          <w:szCs w:val="24"/>
          <w:highlight w:val="none"/>
        </w:rPr>
        <w:t xml:space="preserve">《投标人须知》中条款的项号相对应的。如有矛盾，应以本须知前附表为准。 </w:t>
      </w:r>
    </w:p>
    <w:p w14:paraId="46B22D89">
      <w:pPr>
        <w:spacing w:line="360" w:lineRule="auto"/>
        <w:ind w:firstLine="495"/>
        <w:rPr>
          <w:rFonts w:ascii="宋体" w:hAnsi="宋体" w:cs="宋体"/>
          <w:color w:val="auto"/>
          <w:sz w:val="24"/>
          <w:szCs w:val="24"/>
          <w:highlight w:val="none"/>
        </w:rPr>
      </w:pPr>
    </w:p>
    <w:tbl>
      <w:tblPr>
        <w:tblStyle w:val="12"/>
        <w:tblW w:w="8739"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696"/>
        <w:gridCol w:w="1422"/>
        <w:gridCol w:w="5925"/>
      </w:tblGrid>
      <w:tr w14:paraId="0B1FA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Pr>
          <w:p w14:paraId="41458678">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资格性要求</w:t>
            </w:r>
          </w:p>
        </w:tc>
      </w:tr>
      <w:tr w14:paraId="269D1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3B598665">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项</w:t>
            </w:r>
          </w:p>
          <w:p w14:paraId="73E09F44">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号</w:t>
            </w:r>
          </w:p>
        </w:tc>
        <w:tc>
          <w:tcPr>
            <w:tcW w:w="696" w:type="dxa"/>
            <w:tcBorders>
              <w:bottom w:val="single" w:color="auto" w:sz="4" w:space="0"/>
            </w:tcBorders>
            <w:vAlign w:val="center"/>
          </w:tcPr>
          <w:p w14:paraId="4F63B2BC">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章</w:t>
            </w:r>
          </w:p>
        </w:tc>
        <w:tc>
          <w:tcPr>
            <w:tcW w:w="1422" w:type="dxa"/>
            <w:tcBorders>
              <w:bottom w:val="single" w:color="auto" w:sz="4" w:space="0"/>
            </w:tcBorders>
            <w:vAlign w:val="center"/>
          </w:tcPr>
          <w:p w14:paraId="70424497">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条款号</w:t>
            </w:r>
          </w:p>
        </w:tc>
        <w:tc>
          <w:tcPr>
            <w:tcW w:w="5925" w:type="dxa"/>
            <w:tcBorders>
              <w:bottom w:val="single" w:color="auto" w:sz="4" w:space="0"/>
            </w:tcBorders>
            <w:vAlign w:val="center"/>
          </w:tcPr>
          <w:p w14:paraId="779E3C7B">
            <w:pPr>
              <w:tabs>
                <w:tab w:val="left" w:pos="2848"/>
              </w:tabs>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具体内容</w:t>
            </w:r>
          </w:p>
        </w:tc>
      </w:tr>
      <w:tr w14:paraId="6EFB4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2750D9B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vAlign w:val="center"/>
          </w:tcPr>
          <w:p w14:paraId="27A3492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041F4D9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5925" w:type="dxa"/>
            <w:tcBorders>
              <w:top w:val="single" w:color="auto" w:sz="4" w:space="0"/>
              <w:left w:val="single" w:color="auto" w:sz="4" w:space="0"/>
              <w:bottom w:val="single" w:color="auto" w:sz="4" w:space="0"/>
              <w:right w:val="single" w:color="auto" w:sz="4" w:space="0"/>
            </w:tcBorders>
            <w:vAlign w:val="center"/>
          </w:tcPr>
          <w:p w14:paraId="135771B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合格的投标人</w:t>
            </w:r>
          </w:p>
          <w:p w14:paraId="56B70BD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具体内容详见第二章第3条“合格的投标人”。</w:t>
            </w:r>
          </w:p>
        </w:tc>
      </w:tr>
      <w:tr w14:paraId="3E785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39B6250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vAlign w:val="center"/>
          </w:tcPr>
          <w:p w14:paraId="264946A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684595A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3.1</w:t>
            </w:r>
          </w:p>
        </w:tc>
        <w:tc>
          <w:tcPr>
            <w:tcW w:w="5925" w:type="dxa"/>
            <w:tcBorders>
              <w:top w:val="single" w:color="auto" w:sz="4" w:space="0"/>
              <w:left w:val="single" w:color="auto" w:sz="4" w:space="0"/>
              <w:bottom w:val="single" w:color="auto" w:sz="4" w:space="0"/>
              <w:right w:val="single" w:color="auto" w:sz="4" w:space="0"/>
            </w:tcBorders>
            <w:vAlign w:val="center"/>
          </w:tcPr>
          <w:p w14:paraId="684AFC4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601923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投标人应具备《中华人民共和国政府采购法》第二十二条第一款规定的条件，并提供以下材料：</w:t>
            </w:r>
          </w:p>
          <w:p w14:paraId="64B1B8F9">
            <w:pPr>
              <w:spacing w:line="360" w:lineRule="auto"/>
              <w:ind w:firstLine="200"/>
              <w:rPr>
                <w:rFonts w:ascii="宋体" w:hAnsi="宋体" w:cs="宋体"/>
                <w:color w:val="auto"/>
                <w:sz w:val="24"/>
                <w:szCs w:val="24"/>
                <w:highlight w:val="none"/>
              </w:rPr>
            </w:pPr>
            <w:r>
              <w:rPr>
                <w:rFonts w:hint="eastAsia" w:ascii="宋体" w:hAnsi="宋体" w:cs="宋体"/>
                <w:color w:val="auto"/>
                <w:sz w:val="24"/>
                <w:szCs w:val="24"/>
                <w:highlight w:val="none"/>
              </w:rPr>
              <w:t>（1）法人或者其他组织的营业执照等证明文件，自然人的身份证明；</w:t>
            </w:r>
          </w:p>
          <w:p w14:paraId="32368658">
            <w:pPr>
              <w:spacing w:line="360" w:lineRule="auto"/>
              <w:ind w:firstLine="200"/>
              <w:rPr>
                <w:rFonts w:ascii="宋体" w:hAnsi="宋体" w:cs="宋体"/>
                <w:color w:val="auto"/>
                <w:sz w:val="24"/>
                <w:szCs w:val="24"/>
                <w:highlight w:val="none"/>
              </w:rPr>
            </w:pPr>
            <w:r>
              <w:rPr>
                <w:rFonts w:hint="eastAsia" w:ascii="宋体" w:hAnsi="宋体" w:cs="宋体"/>
                <w:color w:val="auto"/>
                <w:sz w:val="24"/>
                <w:szCs w:val="24"/>
                <w:highlight w:val="none"/>
              </w:rPr>
              <w:t>投标人是法人或者其他组织的应提供营业执照等证明文件，投标人是自然人的应提供有效的自然人身份证明。</w:t>
            </w:r>
          </w:p>
          <w:p w14:paraId="20287762">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kern w:val="0"/>
                <w:sz w:val="24"/>
                <w:szCs w:val="24"/>
                <w:highlight w:val="none"/>
              </w:rPr>
              <w:t>经审计的上一年度的年度财务报告（</w:t>
            </w:r>
            <w:r>
              <w:rPr>
                <w:rFonts w:hint="eastAsia" w:ascii="宋体" w:hAnsi="宋体" w:cs="宋体"/>
                <w:color w:val="auto"/>
                <w:sz w:val="24"/>
                <w:szCs w:val="24"/>
                <w:highlight w:val="none"/>
              </w:rPr>
              <w:t>投标人上一年度的财务报告尚未完成编制且投标截止时间在每年1月1日至4月30日的，可提供上上年度经审计的年度财务报告。</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65AE7F6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财务状况报告指“四表一注”，即资产负债表、利润表、现金流量表、所有者权益变动表及其附注，或基本开户银行出具的资信证明。</w:t>
            </w:r>
          </w:p>
          <w:p w14:paraId="4CE5FDA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14:paraId="213716B2">
            <w:pPr>
              <w:spacing w:line="360" w:lineRule="auto"/>
              <w:ind w:firstLine="200"/>
              <w:rPr>
                <w:rFonts w:ascii="宋体" w:hAnsi="宋体" w:cs="宋体"/>
                <w:color w:val="auto"/>
                <w:sz w:val="24"/>
                <w:szCs w:val="24"/>
                <w:highlight w:val="none"/>
              </w:rPr>
            </w:pPr>
            <w:r>
              <w:rPr>
                <w:rFonts w:hint="eastAsia" w:ascii="宋体" w:hAnsi="宋体" w:cs="宋体"/>
                <w:color w:val="auto"/>
                <w:sz w:val="24"/>
                <w:szCs w:val="24"/>
                <w:highlight w:val="none"/>
              </w:rPr>
              <w:t>（3）具备履行合同所必需的设备和专业技术能力的证明材料。</w:t>
            </w:r>
          </w:p>
          <w:p w14:paraId="2D46207E">
            <w:pPr>
              <w:spacing w:line="360" w:lineRule="auto"/>
              <w:ind w:firstLine="200"/>
              <w:rPr>
                <w:rFonts w:ascii="宋体" w:hAnsi="宋体" w:cs="宋体"/>
                <w:color w:val="auto"/>
                <w:sz w:val="24"/>
                <w:szCs w:val="24"/>
                <w:highlight w:val="none"/>
              </w:rPr>
            </w:pPr>
            <w:r>
              <w:rPr>
                <w:rFonts w:hint="eastAsia" w:ascii="宋体" w:hAnsi="宋体" w:cs="宋体"/>
                <w:color w:val="auto"/>
                <w:sz w:val="24"/>
                <w:szCs w:val="24"/>
                <w:highlight w:val="none"/>
              </w:rPr>
              <w:t>（4）参加政府采购活动前3年内在经营活动中没有重大违法记录的书面声明；投标人自行对其有无行贿犯罪情形进行书面说明或书面承诺。</w:t>
            </w:r>
          </w:p>
          <w:p w14:paraId="6507E8D0">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（5）具备法律、行政法规规定的其他条件的证明材料。</w:t>
            </w:r>
          </w:p>
          <w:p w14:paraId="649005AE">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（6）投标人已提供加载有统一社会信用代码营业执照的，视为已提供税务登记证和组织机构代码证。</w:t>
            </w:r>
          </w:p>
        </w:tc>
      </w:tr>
      <w:tr w14:paraId="5838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0637938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vAlign w:val="center"/>
          </w:tcPr>
          <w:p w14:paraId="5DC0D2A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075FBA4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w:t>
            </w:r>
          </w:p>
        </w:tc>
        <w:tc>
          <w:tcPr>
            <w:tcW w:w="5925" w:type="dxa"/>
            <w:tcBorders>
              <w:top w:val="single" w:color="auto" w:sz="4" w:space="0"/>
              <w:left w:val="single" w:color="auto" w:sz="4" w:space="0"/>
              <w:bottom w:val="single" w:color="auto" w:sz="4" w:space="0"/>
              <w:right w:val="single" w:color="auto" w:sz="4" w:space="0"/>
            </w:tcBorders>
            <w:vAlign w:val="center"/>
          </w:tcPr>
          <w:p w14:paraId="47364E2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3.5如本项目接受联合体投标，则两个或者两个以上投标人可以组成一个投标联合体，以一个投标人的身份投标。</w:t>
            </w:r>
          </w:p>
          <w:p w14:paraId="7CEE15A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以联合体形式参加投标的，联合体各方均应当符合合格的投标人相关规定。采购单位根据采购项目的特殊要求规定投标人特定条件的，联合体各方中至少应当有一方符合采购单位规定的特定条件，如联合体各方中没有一方符合特定条件的，该联合体投标无效。</w:t>
            </w:r>
          </w:p>
          <w:p w14:paraId="3EDD412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58321F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（3）项目如涉及资质要求，该部分内容应由联合体中具有该资质要求的投标人承担。联合体协议及签订的采购合同应包含此项内容。</w:t>
            </w:r>
          </w:p>
          <w:p w14:paraId="21879239">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（4）联合体中有同类资质的投标人按照联合体分工承担相同工作的，应当按照资质等级较低的投标人确定资质等级。</w:t>
            </w:r>
          </w:p>
        </w:tc>
      </w:tr>
      <w:tr w14:paraId="78221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23134F4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vAlign w:val="center"/>
          </w:tcPr>
          <w:p w14:paraId="3E73895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78CCFE6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3.6</w:t>
            </w:r>
          </w:p>
        </w:tc>
        <w:tc>
          <w:tcPr>
            <w:tcW w:w="5925" w:type="dxa"/>
            <w:tcBorders>
              <w:top w:val="single" w:color="auto" w:sz="4" w:space="0"/>
              <w:left w:val="single" w:color="auto" w:sz="4" w:space="0"/>
              <w:bottom w:val="single" w:color="auto" w:sz="4" w:space="0"/>
              <w:right w:val="single" w:color="auto" w:sz="4" w:space="0"/>
            </w:tcBorders>
            <w:vAlign w:val="center"/>
          </w:tcPr>
          <w:p w14:paraId="0A907BE2">
            <w:pPr>
              <w:spacing w:line="360" w:lineRule="auto"/>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51BB9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48E37ED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vAlign w:val="center"/>
          </w:tcPr>
          <w:p w14:paraId="217A67D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24743AC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3.7</w:t>
            </w:r>
          </w:p>
        </w:tc>
        <w:tc>
          <w:tcPr>
            <w:tcW w:w="5925" w:type="dxa"/>
            <w:tcBorders>
              <w:top w:val="single" w:color="auto" w:sz="4" w:space="0"/>
              <w:left w:val="single" w:color="auto" w:sz="4" w:space="0"/>
              <w:bottom w:val="single" w:color="auto" w:sz="4" w:space="0"/>
              <w:right w:val="single" w:color="auto" w:sz="4" w:space="0"/>
            </w:tcBorders>
            <w:vAlign w:val="center"/>
          </w:tcPr>
          <w:p w14:paraId="3FD13BC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3.7投标代理人在同一个项目中只能接受一个投标人的委托参加投标。</w:t>
            </w:r>
          </w:p>
        </w:tc>
      </w:tr>
      <w:tr w14:paraId="3B326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482C790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vAlign w:val="center"/>
          </w:tcPr>
          <w:p w14:paraId="28A80210">
            <w:pPr>
              <w:spacing w:line="360" w:lineRule="auto"/>
              <w:jc w:val="center"/>
              <w:rPr>
                <w:rFonts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vAlign w:val="center"/>
          </w:tcPr>
          <w:p w14:paraId="2AE86689">
            <w:pPr>
              <w:spacing w:line="360" w:lineRule="auto"/>
              <w:jc w:val="center"/>
              <w:rPr>
                <w:rFonts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vAlign w:val="center"/>
          </w:tcPr>
          <w:p w14:paraId="065AAEBC">
            <w:pPr>
              <w:tabs>
                <w:tab w:val="left" w:pos="630"/>
              </w:tabs>
              <w:spacing w:line="360" w:lineRule="auto"/>
              <w:ind w:firstLine="560"/>
              <w:rPr>
                <w:rFonts w:ascii="宋体" w:hAnsi="宋体" w:cs="宋体"/>
                <w:color w:val="auto"/>
                <w:sz w:val="24"/>
                <w:szCs w:val="24"/>
                <w:highlight w:val="none"/>
              </w:rPr>
            </w:pPr>
            <w:r>
              <w:rPr>
                <w:rFonts w:hint="eastAsia" w:ascii="宋体" w:hAnsi="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0CD8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69394FA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tcPr>
          <w:p w14:paraId="4024AA4F">
            <w:pPr>
              <w:spacing w:line="360" w:lineRule="auto"/>
              <w:jc w:val="center"/>
              <w:rPr>
                <w:rFonts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tcPr>
          <w:p w14:paraId="23CAD883">
            <w:pPr>
              <w:spacing w:line="360" w:lineRule="auto"/>
              <w:jc w:val="center"/>
              <w:rPr>
                <w:rFonts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tcPr>
          <w:p w14:paraId="1C290103">
            <w:pPr>
              <w:spacing w:line="360" w:lineRule="auto"/>
              <w:ind w:left="0" w:leftChars="0" w:firstLine="0" w:firstLineChars="0"/>
              <w:rPr>
                <w:rFonts w:ascii="宋体" w:hAnsi="宋体" w:cs="宋体"/>
                <w:color w:val="auto"/>
                <w:sz w:val="24"/>
                <w:szCs w:val="24"/>
                <w:highlight w:val="none"/>
              </w:rPr>
            </w:pPr>
            <w:r>
              <w:rPr>
                <w:rFonts w:hint="eastAsia" w:asciiTheme="minorEastAsia" w:hAnsiTheme="minorEastAsia" w:eastAsiaTheme="minorEastAsia"/>
                <w:b/>
                <w:color w:val="auto"/>
                <w:sz w:val="24"/>
                <w:szCs w:val="24"/>
                <w:highlight w:val="none"/>
              </w:rPr>
              <w:t>四、</w:t>
            </w:r>
            <w:r>
              <w:rPr>
                <w:rFonts w:asciiTheme="minorEastAsia" w:hAnsiTheme="minorEastAsia" w:eastAsiaTheme="minorEastAsia"/>
                <w:b/>
                <w:color w:val="auto"/>
                <w:sz w:val="24"/>
                <w:szCs w:val="24"/>
                <w:highlight w:val="none"/>
              </w:rPr>
              <w:t>*1、</w:t>
            </w:r>
            <w:r>
              <w:rPr>
                <w:rFonts w:hint="eastAsia" w:asciiTheme="minorEastAsia" w:hAnsiTheme="minorEastAsia" w:eastAsiaTheme="minorEastAsia"/>
                <w:b/>
                <w:color w:val="auto"/>
                <w:sz w:val="24"/>
                <w:szCs w:val="24"/>
                <w:highlight w:val="none"/>
              </w:rPr>
              <w:t>投标人应提供工商营业执照（副本）（加盖公章）的复印件，提供税务登记证及组织机构代码证复印件。投标人已提供加载有统一社会信用代码营业执照的，视为已提供税务登记证和组织机构代码证。</w:t>
            </w:r>
          </w:p>
        </w:tc>
      </w:tr>
      <w:tr w14:paraId="73426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7142CB6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tcPr>
          <w:p w14:paraId="74BEF4BA">
            <w:pPr>
              <w:spacing w:line="360" w:lineRule="auto"/>
              <w:jc w:val="center"/>
              <w:rPr>
                <w:rFonts w:ascii="宋体" w:hAnsi="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tcPr>
          <w:p w14:paraId="27E9BED7">
            <w:pPr>
              <w:spacing w:line="360" w:lineRule="auto"/>
              <w:jc w:val="center"/>
              <w:rPr>
                <w:rFonts w:ascii="宋体" w:hAnsi="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tcPr>
          <w:p w14:paraId="32C0A0EC">
            <w:pPr>
              <w:spacing w:line="360" w:lineRule="auto"/>
              <w:ind w:left="0" w:leftChars="0" w:firstLine="0" w:firstLineChars="0"/>
              <w:rPr>
                <w:rFonts w:ascii="宋体" w:hAnsi="宋体" w:cs="宋体"/>
                <w:color w:val="auto"/>
                <w:sz w:val="24"/>
                <w:szCs w:val="24"/>
                <w:highlight w:val="none"/>
              </w:rPr>
            </w:pPr>
            <w:r>
              <w:rPr>
                <w:rFonts w:asciiTheme="minorEastAsia" w:hAnsiTheme="minorEastAsia" w:eastAsiaTheme="minorEastAsia"/>
                <w:b/>
                <w:color w:val="auto"/>
                <w:sz w:val="24"/>
                <w:szCs w:val="24"/>
                <w:highlight w:val="none"/>
              </w:rPr>
              <w:t>*2、</w:t>
            </w:r>
            <w:r>
              <w:rPr>
                <w:rFonts w:hint="eastAsia" w:asciiTheme="minorEastAsia" w:hAnsiTheme="minorEastAsia" w:eastAsiaTheme="minorEastAsia"/>
                <w:b/>
                <w:color w:val="auto"/>
                <w:sz w:val="24"/>
                <w:szCs w:val="24"/>
                <w:highlight w:val="none"/>
              </w:rPr>
              <w:t>投标人全权代表若不是单位负责人，应提供单位授权书原件，并提供被授权代表身份证复印件。</w:t>
            </w:r>
          </w:p>
        </w:tc>
      </w:tr>
      <w:tr w14:paraId="7490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Borders>
              <w:top w:val="single" w:color="auto" w:sz="4" w:space="0"/>
              <w:left w:val="single" w:color="auto" w:sz="4" w:space="0"/>
              <w:bottom w:val="single" w:color="auto" w:sz="4" w:space="0"/>
              <w:right w:val="single" w:color="auto" w:sz="4" w:space="0"/>
            </w:tcBorders>
            <w:vAlign w:val="center"/>
          </w:tcPr>
          <w:p w14:paraId="320AA47D">
            <w:pPr>
              <w:spacing w:line="360" w:lineRule="auto"/>
              <w:ind w:firstLine="3542" w:firstLineChars="1470"/>
              <w:rPr>
                <w:rFonts w:ascii="宋体" w:hAnsi="宋体" w:cs="宋体"/>
                <w:color w:val="auto"/>
                <w:sz w:val="24"/>
                <w:szCs w:val="24"/>
                <w:highlight w:val="none"/>
              </w:rPr>
            </w:pPr>
            <w:r>
              <w:rPr>
                <w:rFonts w:hint="eastAsia" w:ascii="宋体" w:hAnsi="宋体" w:cs="宋体"/>
                <w:b/>
                <w:color w:val="auto"/>
                <w:sz w:val="24"/>
                <w:szCs w:val="24"/>
                <w:highlight w:val="none"/>
              </w:rPr>
              <w:t>符合性要求</w:t>
            </w:r>
          </w:p>
        </w:tc>
      </w:tr>
      <w:tr w14:paraId="09EED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7EF66B0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696" w:type="dxa"/>
            <w:tcBorders>
              <w:top w:val="single" w:color="auto" w:sz="4" w:space="0"/>
              <w:left w:val="single" w:color="auto" w:sz="4" w:space="0"/>
              <w:bottom w:val="single" w:color="auto" w:sz="4" w:space="0"/>
              <w:right w:val="single" w:color="auto" w:sz="4" w:space="0"/>
            </w:tcBorders>
            <w:vAlign w:val="center"/>
          </w:tcPr>
          <w:p w14:paraId="3980D9D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章</w:t>
            </w:r>
          </w:p>
        </w:tc>
        <w:tc>
          <w:tcPr>
            <w:tcW w:w="1422" w:type="dxa"/>
            <w:tcBorders>
              <w:top w:val="single" w:color="auto" w:sz="4" w:space="0"/>
              <w:left w:val="single" w:color="auto" w:sz="4" w:space="0"/>
              <w:bottom w:val="single" w:color="auto" w:sz="4" w:space="0"/>
              <w:right w:val="single" w:color="auto" w:sz="4" w:space="0"/>
            </w:tcBorders>
            <w:vAlign w:val="center"/>
          </w:tcPr>
          <w:p w14:paraId="097F79F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5925" w:type="dxa"/>
            <w:tcBorders>
              <w:top w:val="single" w:color="auto" w:sz="4" w:space="0"/>
              <w:left w:val="single" w:color="auto" w:sz="4" w:space="0"/>
              <w:bottom w:val="single" w:color="auto" w:sz="4" w:space="0"/>
              <w:right w:val="single" w:color="auto" w:sz="4" w:space="0"/>
            </w:tcBorders>
            <w:vAlign w:val="center"/>
          </w:tcPr>
          <w:p w14:paraId="3F4DA94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2F4CF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4CB6A6A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vAlign w:val="center"/>
          </w:tcPr>
          <w:p w14:paraId="54810D3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一</w:t>
            </w:r>
          </w:p>
        </w:tc>
        <w:tc>
          <w:tcPr>
            <w:tcW w:w="1422" w:type="dxa"/>
            <w:tcBorders>
              <w:top w:val="single" w:color="auto" w:sz="4" w:space="0"/>
              <w:left w:val="single" w:color="auto" w:sz="4" w:space="0"/>
              <w:bottom w:val="single" w:color="auto" w:sz="4" w:space="0"/>
              <w:right w:val="single" w:color="auto" w:sz="4" w:space="0"/>
            </w:tcBorders>
            <w:vAlign w:val="center"/>
          </w:tcPr>
          <w:p w14:paraId="4DA0F1F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5925" w:type="dxa"/>
            <w:tcBorders>
              <w:top w:val="single" w:color="auto" w:sz="4" w:space="0"/>
              <w:left w:val="single" w:color="auto" w:sz="4" w:space="0"/>
              <w:bottom w:val="single" w:color="auto" w:sz="4" w:space="0"/>
              <w:right w:val="single" w:color="auto" w:sz="4" w:space="0"/>
            </w:tcBorders>
          </w:tcPr>
          <w:p w14:paraId="1F4653C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投标人的投标文件未按规定的投标截止时间之前提交的，其投标将被拒绝。</w:t>
            </w:r>
          </w:p>
        </w:tc>
      </w:tr>
      <w:tr w14:paraId="5DB1F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1778D22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vAlign w:val="center"/>
          </w:tcPr>
          <w:p w14:paraId="497107B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0425A0B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3.2</w:t>
            </w:r>
          </w:p>
        </w:tc>
        <w:tc>
          <w:tcPr>
            <w:tcW w:w="5925" w:type="dxa"/>
            <w:tcBorders>
              <w:top w:val="single" w:color="auto" w:sz="4" w:space="0"/>
              <w:left w:val="single" w:color="auto" w:sz="4" w:space="0"/>
              <w:bottom w:val="single" w:color="auto" w:sz="4" w:space="0"/>
              <w:right w:val="single" w:color="auto" w:sz="4" w:space="0"/>
            </w:tcBorders>
            <w:vAlign w:val="center"/>
          </w:tcPr>
          <w:p w14:paraId="4715865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73D46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3C6FF4A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vAlign w:val="center"/>
          </w:tcPr>
          <w:p w14:paraId="3E7FFC4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248B37A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3.3</w:t>
            </w:r>
          </w:p>
        </w:tc>
        <w:tc>
          <w:tcPr>
            <w:tcW w:w="5925" w:type="dxa"/>
            <w:tcBorders>
              <w:top w:val="single" w:color="auto" w:sz="4" w:space="0"/>
              <w:left w:val="single" w:color="auto" w:sz="4" w:space="0"/>
              <w:bottom w:val="single" w:color="auto" w:sz="4" w:space="0"/>
              <w:right w:val="single" w:color="auto" w:sz="4" w:space="0"/>
            </w:tcBorders>
            <w:vAlign w:val="center"/>
          </w:tcPr>
          <w:p w14:paraId="0D846BA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3.3一个投标人只能提交一个投标文件。如果投标人之间存在下列互为关联关系的情形之一的，不得同时参加本项目同一合同包投标：</w:t>
            </w:r>
          </w:p>
          <w:p w14:paraId="57799D3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(1)法定代表人、单位负责人为同一人或夫妻关系的不同投标人；</w:t>
            </w:r>
          </w:p>
          <w:p w14:paraId="0B9C4C0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(2)存在直接控股、管理关系的不同投标人；</w:t>
            </w:r>
          </w:p>
          <w:p w14:paraId="45D2FE3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(3)均为同一家母公司直接或间接持股50％及以上的被投资公司。</w:t>
            </w:r>
          </w:p>
        </w:tc>
      </w:tr>
      <w:tr w14:paraId="2EBE3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6917F19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vAlign w:val="center"/>
          </w:tcPr>
          <w:p w14:paraId="75A07D9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0AA20E3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3.4</w:t>
            </w:r>
          </w:p>
        </w:tc>
        <w:tc>
          <w:tcPr>
            <w:tcW w:w="5925" w:type="dxa"/>
            <w:tcBorders>
              <w:top w:val="single" w:color="auto" w:sz="4" w:space="0"/>
              <w:left w:val="single" w:color="auto" w:sz="4" w:space="0"/>
              <w:bottom w:val="single" w:color="auto" w:sz="4" w:space="0"/>
              <w:right w:val="single" w:color="auto" w:sz="4" w:space="0"/>
            </w:tcBorders>
            <w:vAlign w:val="center"/>
          </w:tcPr>
          <w:p w14:paraId="0B953E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74E78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1BE936F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vAlign w:val="center"/>
          </w:tcPr>
          <w:p w14:paraId="0885E03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42E4868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3.8</w:t>
            </w:r>
          </w:p>
        </w:tc>
        <w:tc>
          <w:tcPr>
            <w:tcW w:w="5925" w:type="dxa"/>
            <w:tcBorders>
              <w:top w:val="single" w:color="auto" w:sz="4" w:space="0"/>
              <w:left w:val="single" w:color="auto" w:sz="4" w:space="0"/>
              <w:bottom w:val="single" w:color="auto" w:sz="4" w:space="0"/>
              <w:right w:val="single" w:color="auto" w:sz="4" w:space="0"/>
            </w:tcBorders>
            <w:vAlign w:val="center"/>
          </w:tcPr>
          <w:p w14:paraId="52236F1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3.8投标人存在下列情形之一的，将被认定为串通投标行为并作无效投标处理：</w:t>
            </w:r>
          </w:p>
          <w:p w14:paraId="6C6A570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（1）投标人之间协商投标报价等投标文件的实质性内容；</w:t>
            </w:r>
          </w:p>
          <w:p w14:paraId="6138C82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（2）投标人之间约定中标供应商；</w:t>
            </w:r>
          </w:p>
          <w:p w14:paraId="287A82D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（3）投标人之间约定部分投标人放弃投标或者中标；</w:t>
            </w:r>
          </w:p>
          <w:p w14:paraId="6BE0B6A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（4）属于同一集团、协会、商会等组织成员的投标人按照该组织要求协同投标；</w:t>
            </w:r>
          </w:p>
          <w:p w14:paraId="4F09C6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（5）投标人之间为谋取中标或者排斥特定投标人而采取的其他联合行动；</w:t>
            </w:r>
          </w:p>
          <w:p w14:paraId="54C020E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（6）不同投标人的投标文件由同一单位或者个人编制；</w:t>
            </w:r>
          </w:p>
          <w:p w14:paraId="2877A92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（7）不同投标人委托同一单位或者个人办理投标事宜；</w:t>
            </w:r>
          </w:p>
          <w:p w14:paraId="4BFA722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（8）不同投标人的投标文件载明的项目管理成员或者联系人员为同一人；</w:t>
            </w:r>
          </w:p>
          <w:p w14:paraId="62B476D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（9）不同投标人的投标文件异常一致或者投标报价呈规律性差异；</w:t>
            </w:r>
          </w:p>
          <w:p w14:paraId="2B17A9D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（10）不同投标人的投标文件相互混装；</w:t>
            </w:r>
          </w:p>
          <w:p w14:paraId="77FB6C3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（11）不同投标人的投标保证金从同一单位或者个人的账户转出。</w:t>
            </w:r>
          </w:p>
          <w:p w14:paraId="53CB10B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（12）不同投标人的投标文件错、漏之处一致或雷同，且不能合理解释的；</w:t>
            </w:r>
          </w:p>
          <w:p w14:paraId="6A964A9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（13）不同的投标人的法定代表人、委托代理人等由同一个单位缴纳社会保险的；</w:t>
            </w:r>
          </w:p>
          <w:p w14:paraId="52BC5A6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（14）由同一人或分别由几个有</w:t>
            </w:r>
            <w:r>
              <w:rPr>
                <w:rFonts w:hint="eastAsia" w:ascii="宋体" w:hAnsi="宋体" w:cs="宋体"/>
                <w:color w:val="auto"/>
                <w:sz w:val="24"/>
                <w:szCs w:val="24"/>
                <w:highlight w:val="none"/>
              </w:rPr>
              <w:t>利害关系的人</w:t>
            </w:r>
            <w:r>
              <w:rPr>
                <w:rFonts w:hint="eastAsia" w:ascii="宋体" w:hAnsi="宋体" w:cs="宋体"/>
                <w:color w:val="auto"/>
                <w:sz w:val="24"/>
                <w:szCs w:val="24"/>
                <w:highlight w:val="none"/>
              </w:rPr>
              <w:t>携带两个以上（含两个）投标人的企业资料参与资格审查、领取招标资料，或代表两个以上（含两个）投标人参加招标答疑会、交纳或退还投标保证金、开标的；</w:t>
            </w:r>
          </w:p>
          <w:p w14:paraId="4BC8CBA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（15）有关法律、法规或规章规定的其他串通投标行为。</w:t>
            </w:r>
          </w:p>
        </w:tc>
      </w:tr>
      <w:tr w14:paraId="4EBF3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70777D5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vAlign w:val="center"/>
          </w:tcPr>
          <w:p w14:paraId="7EC352A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60334A5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8.1</w:t>
            </w:r>
          </w:p>
        </w:tc>
        <w:tc>
          <w:tcPr>
            <w:tcW w:w="5925" w:type="dxa"/>
            <w:tcBorders>
              <w:top w:val="single" w:color="auto" w:sz="4" w:space="0"/>
              <w:left w:val="single" w:color="auto" w:sz="4" w:space="0"/>
              <w:bottom w:val="single" w:color="auto" w:sz="4" w:space="0"/>
              <w:right w:val="single" w:color="auto" w:sz="4" w:space="0"/>
            </w:tcBorders>
          </w:tcPr>
          <w:p w14:paraId="749C79DC">
            <w:pPr>
              <w:spacing w:line="360" w:lineRule="auto"/>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09232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5628FA0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vAlign w:val="center"/>
          </w:tcPr>
          <w:p w14:paraId="112A413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6A2128F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8.2</w:t>
            </w:r>
          </w:p>
        </w:tc>
        <w:tc>
          <w:tcPr>
            <w:tcW w:w="5925" w:type="dxa"/>
            <w:tcBorders>
              <w:top w:val="single" w:color="auto" w:sz="4" w:space="0"/>
              <w:left w:val="single" w:color="auto" w:sz="4" w:space="0"/>
              <w:bottom w:val="single" w:color="auto" w:sz="4" w:space="0"/>
              <w:right w:val="single" w:color="auto" w:sz="4" w:space="0"/>
            </w:tcBorders>
          </w:tcPr>
          <w:p w14:paraId="2A64E9A1">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2C052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3056252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vAlign w:val="center"/>
          </w:tcPr>
          <w:p w14:paraId="0A0FDBF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388F407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5925" w:type="dxa"/>
            <w:tcBorders>
              <w:top w:val="single" w:color="auto" w:sz="4" w:space="0"/>
              <w:left w:val="single" w:color="auto" w:sz="4" w:space="0"/>
              <w:bottom w:val="single" w:color="auto" w:sz="4" w:space="0"/>
              <w:right w:val="single" w:color="auto" w:sz="4" w:space="0"/>
            </w:tcBorders>
            <w:vAlign w:val="center"/>
          </w:tcPr>
          <w:p w14:paraId="67C9E800">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11.1投标文件从投标截止之日开始生效，在</w:t>
            </w:r>
            <w:r>
              <w:rPr>
                <w:rFonts w:hint="eastAsia" w:ascii="宋体" w:hAnsi="宋体" w:cs="宋体"/>
                <w:b/>
                <w:bCs/>
                <w:color w:val="auto"/>
                <w:sz w:val="24"/>
                <w:szCs w:val="24"/>
                <w:highlight w:val="none"/>
              </w:rPr>
              <w:t>投标人须知前附表1</w:t>
            </w:r>
            <w:r>
              <w:rPr>
                <w:rFonts w:hint="eastAsia" w:ascii="宋体" w:hAnsi="宋体" w:cs="宋体"/>
                <w:b/>
                <w:color w:val="auto"/>
                <w:sz w:val="24"/>
                <w:szCs w:val="24"/>
                <w:highlight w:val="none"/>
              </w:rPr>
              <w:t>第3项所规定的期限内保持有效。有效期不足将导致其投标文件被拒绝。</w:t>
            </w:r>
          </w:p>
        </w:tc>
      </w:tr>
      <w:tr w14:paraId="6ECB9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3D39123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vAlign w:val="center"/>
          </w:tcPr>
          <w:p w14:paraId="150B157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38F0950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12.5</w:t>
            </w:r>
          </w:p>
        </w:tc>
        <w:tc>
          <w:tcPr>
            <w:tcW w:w="5925" w:type="dxa"/>
            <w:tcBorders>
              <w:top w:val="single" w:color="auto" w:sz="4" w:space="0"/>
              <w:left w:val="single" w:color="auto" w:sz="4" w:space="0"/>
              <w:bottom w:val="single" w:color="auto" w:sz="4" w:space="0"/>
              <w:right w:val="single" w:color="auto" w:sz="4" w:space="0"/>
            </w:tcBorders>
            <w:vAlign w:val="center"/>
          </w:tcPr>
          <w:p w14:paraId="10147161">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12.5未按要求缴交投标保证金的投标，将被视为无效投标。</w:t>
            </w:r>
          </w:p>
        </w:tc>
      </w:tr>
      <w:tr w14:paraId="45DE0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6170439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10</w:t>
            </w:r>
          </w:p>
        </w:tc>
        <w:tc>
          <w:tcPr>
            <w:tcW w:w="696" w:type="dxa"/>
            <w:tcBorders>
              <w:top w:val="single" w:color="auto" w:sz="4" w:space="0"/>
              <w:left w:val="single" w:color="auto" w:sz="4" w:space="0"/>
              <w:bottom w:val="single" w:color="auto" w:sz="4" w:space="0"/>
              <w:right w:val="single" w:color="auto" w:sz="4" w:space="0"/>
            </w:tcBorders>
            <w:vAlign w:val="center"/>
          </w:tcPr>
          <w:p w14:paraId="0A94CFC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57268CA3">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13.7</w:t>
            </w:r>
          </w:p>
        </w:tc>
        <w:tc>
          <w:tcPr>
            <w:tcW w:w="5925" w:type="dxa"/>
            <w:tcBorders>
              <w:top w:val="single" w:color="auto" w:sz="4" w:space="0"/>
              <w:left w:val="single" w:color="auto" w:sz="4" w:space="0"/>
              <w:bottom w:val="single" w:color="auto" w:sz="4" w:space="0"/>
              <w:right w:val="single" w:color="auto" w:sz="4" w:space="0"/>
            </w:tcBorders>
            <w:vAlign w:val="center"/>
          </w:tcPr>
          <w:p w14:paraId="7F566C39">
            <w:pPr>
              <w:spacing w:line="360" w:lineRule="auto"/>
              <w:ind w:firstLine="482"/>
              <w:rPr>
                <w:rFonts w:ascii="宋体" w:hAnsi="宋体" w:cs="宋体"/>
                <w:b/>
                <w:color w:val="auto"/>
                <w:sz w:val="24"/>
                <w:szCs w:val="24"/>
                <w:highlight w:val="none"/>
              </w:rPr>
            </w:pPr>
            <w:r>
              <w:rPr>
                <w:rFonts w:hint="eastAsia" w:ascii="宋体" w:hAnsi="宋体" w:cs="宋体"/>
                <w:b/>
                <w:color w:val="auto"/>
                <w:sz w:val="24"/>
                <w:szCs w:val="24"/>
                <w:highlight w:val="none"/>
              </w:rPr>
              <w:t>13.7未按本须知规定的格式填写投标文件、投标文件字迹模糊不清的，其投标将被拒绝。</w:t>
            </w:r>
          </w:p>
        </w:tc>
      </w:tr>
      <w:tr w14:paraId="61861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3D82A99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696" w:type="dxa"/>
            <w:tcBorders>
              <w:top w:val="single" w:color="auto" w:sz="4" w:space="0"/>
              <w:left w:val="single" w:color="auto" w:sz="4" w:space="0"/>
              <w:bottom w:val="single" w:color="auto" w:sz="4" w:space="0"/>
              <w:right w:val="single" w:color="auto" w:sz="4" w:space="0"/>
            </w:tcBorders>
            <w:vAlign w:val="center"/>
          </w:tcPr>
          <w:p w14:paraId="053716A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5A597284">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13.9</w:t>
            </w:r>
          </w:p>
        </w:tc>
        <w:tc>
          <w:tcPr>
            <w:tcW w:w="5925" w:type="dxa"/>
            <w:tcBorders>
              <w:top w:val="single" w:color="auto" w:sz="4" w:space="0"/>
              <w:left w:val="single" w:color="auto" w:sz="4" w:space="0"/>
              <w:bottom w:val="single" w:color="auto" w:sz="4" w:space="0"/>
              <w:right w:val="single" w:color="auto" w:sz="4" w:space="0"/>
            </w:tcBorders>
            <w:vAlign w:val="center"/>
          </w:tcPr>
          <w:p w14:paraId="25354E84">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7ACA2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4313404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696" w:type="dxa"/>
            <w:tcBorders>
              <w:top w:val="single" w:color="auto" w:sz="4" w:space="0"/>
              <w:left w:val="single" w:color="auto" w:sz="4" w:space="0"/>
              <w:bottom w:val="single" w:color="auto" w:sz="4" w:space="0"/>
              <w:right w:val="single" w:color="auto" w:sz="4" w:space="0"/>
            </w:tcBorders>
            <w:vAlign w:val="center"/>
          </w:tcPr>
          <w:p w14:paraId="230E47F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00F6DB8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14.1</w:t>
            </w:r>
          </w:p>
        </w:tc>
        <w:tc>
          <w:tcPr>
            <w:tcW w:w="5925" w:type="dxa"/>
            <w:tcBorders>
              <w:top w:val="single" w:color="auto" w:sz="4" w:space="0"/>
              <w:left w:val="single" w:color="auto" w:sz="4" w:space="0"/>
              <w:bottom w:val="single" w:color="auto" w:sz="4" w:space="0"/>
              <w:right w:val="single" w:color="auto" w:sz="4" w:space="0"/>
            </w:tcBorders>
            <w:vAlign w:val="center"/>
          </w:tcPr>
          <w:p w14:paraId="69F12C1F">
            <w:pPr>
              <w:spacing w:line="360" w:lineRule="auto"/>
              <w:ind w:firstLine="480"/>
              <w:rPr>
                <w:rFonts w:ascii="宋体" w:hAnsi="宋体" w:cs="宋体"/>
                <w:b/>
                <w:color w:val="auto"/>
                <w:sz w:val="24"/>
                <w:szCs w:val="24"/>
                <w:highlight w:val="none"/>
              </w:rPr>
            </w:pPr>
            <w:r>
              <w:rPr>
                <w:rFonts w:hint="eastAsia" w:ascii="宋体" w:hAnsi="宋体" w:cs="宋体"/>
                <w:color w:val="auto"/>
                <w:sz w:val="24"/>
                <w:szCs w:val="24"/>
                <w:highlight w:val="none"/>
              </w:rPr>
              <w:t>14.1</w:t>
            </w:r>
            <w:r>
              <w:rPr>
                <w:rFonts w:hint="eastAsia" w:ascii="宋体" w:hAnsi="宋体" w:cs="宋体"/>
                <w:b/>
                <w:color w:val="auto"/>
                <w:sz w:val="24"/>
                <w:szCs w:val="24"/>
                <w:highlight w:val="none"/>
              </w:rPr>
              <w:t>投标文件未密封将导致其投标被拒绝。</w:t>
            </w:r>
          </w:p>
        </w:tc>
      </w:tr>
      <w:tr w14:paraId="28BA6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1786F93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w:t>
            </w:r>
          </w:p>
        </w:tc>
        <w:tc>
          <w:tcPr>
            <w:tcW w:w="696" w:type="dxa"/>
            <w:tcBorders>
              <w:top w:val="single" w:color="auto" w:sz="4" w:space="0"/>
              <w:left w:val="single" w:color="auto" w:sz="4" w:space="0"/>
              <w:bottom w:val="single" w:color="auto" w:sz="4" w:space="0"/>
              <w:right w:val="single" w:color="auto" w:sz="4" w:space="0"/>
            </w:tcBorders>
            <w:vAlign w:val="center"/>
          </w:tcPr>
          <w:p w14:paraId="7D74CE4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0EE13C1E">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14.5</w:t>
            </w:r>
          </w:p>
        </w:tc>
        <w:tc>
          <w:tcPr>
            <w:tcW w:w="5925" w:type="dxa"/>
            <w:tcBorders>
              <w:top w:val="single" w:color="auto" w:sz="4" w:space="0"/>
              <w:left w:val="single" w:color="auto" w:sz="4" w:space="0"/>
              <w:bottom w:val="single" w:color="auto" w:sz="4" w:space="0"/>
              <w:right w:val="single" w:color="auto" w:sz="4" w:space="0"/>
            </w:tcBorders>
            <w:vAlign w:val="center"/>
          </w:tcPr>
          <w:p w14:paraId="210AD813">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14.5投标文件应在投标邀请中规定的截止时间前送达，迟到的投标文件为无效投标文件, 将被拒收。</w:t>
            </w:r>
          </w:p>
        </w:tc>
      </w:tr>
      <w:tr w14:paraId="28461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170FA6B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14</w:t>
            </w:r>
          </w:p>
        </w:tc>
        <w:tc>
          <w:tcPr>
            <w:tcW w:w="696" w:type="dxa"/>
            <w:tcBorders>
              <w:top w:val="single" w:color="auto" w:sz="4" w:space="0"/>
              <w:left w:val="single" w:color="auto" w:sz="4" w:space="0"/>
              <w:bottom w:val="single" w:color="auto" w:sz="4" w:space="0"/>
              <w:right w:val="single" w:color="auto" w:sz="4" w:space="0"/>
            </w:tcBorders>
            <w:vAlign w:val="center"/>
          </w:tcPr>
          <w:p w14:paraId="75F8FAE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4A50D936">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14.7</w:t>
            </w:r>
          </w:p>
        </w:tc>
        <w:tc>
          <w:tcPr>
            <w:tcW w:w="5925" w:type="dxa"/>
            <w:tcBorders>
              <w:top w:val="single" w:color="auto" w:sz="4" w:space="0"/>
              <w:left w:val="single" w:color="auto" w:sz="4" w:space="0"/>
              <w:bottom w:val="single" w:color="auto" w:sz="4" w:space="0"/>
              <w:right w:val="single" w:color="auto" w:sz="4" w:space="0"/>
            </w:tcBorders>
          </w:tcPr>
          <w:p w14:paraId="6C336BCC">
            <w:pPr>
              <w:spacing w:line="360" w:lineRule="auto"/>
              <w:ind w:firstLine="480"/>
              <w:rPr>
                <w:rFonts w:ascii="宋体" w:hAnsi="宋体" w:cs="宋体"/>
                <w:b/>
                <w:color w:val="auto"/>
                <w:sz w:val="24"/>
                <w:szCs w:val="24"/>
                <w:highlight w:val="none"/>
              </w:rPr>
            </w:pPr>
            <w:r>
              <w:rPr>
                <w:rFonts w:hint="eastAsia" w:ascii="宋体" w:hAnsi="宋体" w:cs="宋体"/>
                <w:b/>
                <w:color w:val="auto"/>
                <w:sz w:val="24"/>
                <w:szCs w:val="24"/>
                <w:highlight w:val="none"/>
              </w:rPr>
              <w:t>14.7投标人在投标截止时间后不得修改、撤回投标文件。投标人在投标截止时间后修改投标文件的，其投标将被拒绝。</w:t>
            </w:r>
          </w:p>
        </w:tc>
      </w:tr>
      <w:tr w14:paraId="59405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2D74611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15</w:t>
            </w:r>
          </w:p>
        </w:tc>
        <w:tc>
          <w:tcPr>
            <w:tcW w:w="696" w:type="dxa"/>
            <w:tcBorders>
              <w:top w:val="single" w:color="auto" w:sz="4" w:space="0"/>
              <w:left w:val="single" w:color="auto" w:sz="4" w:space="0"/>
              <w:bottom w:val="single" w:color="auto" w:sz="4" w:space="0"/>
              <w:right w:val="single" w:color="auto" w:sz="4" w:space="0"/>
            </w:tcBorders>
            <w:vAlign w:val="center"/>
          </w:tcPr>
          <w:p w14:paraId="37C29EF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1469E960">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17.</w:t>
            </w:r>
          </w:p>
        </w:tc>
        <w:tc>
          <w:tcPr>
            <w:tcW w:w="5925" w:type="dxa"/>
            <w:tcBorders>
              <w:top w:val="single" w:color="auto" w:sz="4" w:space="0"/>
              <w:left w:val="single" w:color="auto" w:sz="4" w:space="0"/>
              <w:bottom w:val="single" w:color="auto" w:sz="4" w:space="0"/>
              <w:right w:val="single" w:color="auto" w:sz="4" w:space="0"/>
            </w:tcBorders>
          </w:tcPr>
          <w:p w14:paraId="2C2A26EE">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5E2B3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4C81BD7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16</w:t>
            </w:r>
          </w:p>
        </w:tc>
        <w:tc>
          <w:tcPr>
            <w:tcW w:w="696" w:type="dxa"/>
            <w:tcBorders>
              <w:top w:val="single" w:color="auto" w:sz="4" w:space="0"/>
              <w:left w:val="single" w:color="auto" w:sz="4" w:space="0"/>
              <w:bottom w:val="single" w:color="auto" w:sz="4" w:space="0"/>
              <w:right w:val="single" w:color="auto" w:sz="4" w:space="0"/>
            </w:tcBorders>
            <w:vAlign w:val="center"/>
          </w:tcPr>
          <w:p w14:paraId="009FA0D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71D45C0A">
            <w:pPr>
              <w:spacing w:line="360" w:lineRule="auto"/>
              <w:jc w:val="center"/>
              <w:rPr>
                <w:rFonts w:ascii="宋体" w:hAnsi="宋体" w:cs="宋体"/>
                <w:b/>
                <w:color w:val="auto"/>
                <w:sz w:val="24"/>
                <w:szCs w:val="24"/>
                <w:highlight w:val="none"/>
              </w:rPr>
            </w:pPr>
            <w:r>
              <w:rPr>
                <w:rFonts w:hint="eastAsia" w:ascii="宋体" w:hAnsi="宋体" w:cs="宋体"/>
                <w:color w:val="auto"/>
                <w:sz w:val="24"/>
                <w:szCs w:val="24"/>
                <w:highlight w:val="none"/>
              </w:rPr>
              <w:t>17.2</w:t>
            </w:r>
          </w:p>
        </w:tc>
        <w:tc>
          <w:tcPr>
            <w:tcW w:w="5925" w:type="dxa"/>
            <w:tcBorders>
              <w:top w:val="single" w:color="auto" w:sz="4" w:space="0"/>
              <w:left w:val="single" w:color="auto" w:sz="4" w:space="0"/>
              <w:bottom w:val="single" w:color="auto" w:sz="4" w:space="0"/>
              <w:right w:val="single" w:color="auto" w:sz="4" w:space="0"/>
            </w:tcBorders>
          </w:tcPr>
          <w:p w14:paraId="5804E592">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17.2</w:t>
            </w:r>
            <w:r>
              <w:rPr>
                <w:rFonts w:hint="eastAsia" w:ascii="宋体" w:hAnsi="宋体" w:cs="宋体"/>
                <w:b/>
                <w:color w:val="auto"/>
                <w:sz w:val="24"/>
                <w:szCs w:val="24"/>
                <w:highlight w:val="none"/>
              </w:rPr>
              <w:t>如果投标人不接受按上述方法对投标文件中的算术错误进行更正，其投标将按照无效投标处理并被没收投标保证金。</w:t>
            </w:r>
          </w:p>
        </w:tc>
      </w:tr>
      <w:tr w14:paraId="12D1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7B04353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17</w:t>
            </w:r>
          </w:p>
        </w:tc>
        <w:tc>
          <w:tcPr>
            <w:tcW w:w="696" w:type="dxa"/>
            <w:tcBorders>
              <w:top w:val="single" w:color="auto" w:sz="4" w:space="0"/>
              <w:left w:val="single" w:color="auto" w:sz="4" w:space="0"/>
              <w:bottom w:val="single" w:color="auto" w:sz="4" w:space="0"/>
              <w:right w:val="single" w:color="auto" w:sz="4" w:space="0"/>
            </w:tcBorders>
            <w:vAlign w:val="center"/>
          </w:tcPr>
          <w:p w14:paraId="6EE8FA1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1A19CE8F">
            <w:pPr>
              <w:spacing w:line="360" w:lineRule="auto"/>
              <w:jc w:val="center"/>
              <w:rPr>
                <w:rFonts w:ascii="宋体" w:hAnsi="宋体" w:cs="宋体"/>
                <w:b/>
                <w:color w:val="auto"/>
                <w:sz w:val="24"/>
                <w:szCs w:val="24"/>
                <w:highlight w:val="none"/>
              </w:rPr>
            </w:pPr>
            <w:r>
              <w:rPr>
                <w:rFonts w:hint="eastAsia" w:ascii="宋体" w:hAnsi="宋体" w:cs="宋体"/>
                <w:color w:val="auto"/>
                <w:sz w:val="24"/>
                <w:szCs w:val="24"/>
                <w:highlight w:val="none"/>
              </w:rPr>
              <w:t>17.3.2</w:t>
            </w:r>
          </w:p>
        </w:tc>
        <w:tc>
          <w:tcPr>
            <w:tcW w:w="5925" w:type="dxa"/>
            <w:tcBorders>
              <w:top w:val="single" w:color="auto" w:sz="4" w:space="0"/>
              <w:left w:val="single" w:color="auto" w:sz="4" w:space="0"/>
              <w:bottom w:val="single" w:color="auto" w:sz="4" w:space="0"/>
              <w:right w:val="single" w:color="auto" w:sz="4" w:space="0"/>
            </w:tcBorders>
          </w:tcPr>
          <w:p w14:paraId="6694AE0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采购单位可根据具体项目的情况对实质性要求作特别的规定。）实质性偏离是指：（1）实质性影响合同的范围、质量和履行；（2）实质性违背招标文件，限制了采购单位（或使用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6B709F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未按规定提交投标保证金的；</w:t>
            </w:r>
          </w:p>
          <w:p w14:paraId="343389C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(2)投标有效期不满足招标文件要求的；</w:t>
            </w:r>
          </w:p>
          <w:p w14:paraId="6B6D10E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(3)投标内容与招标内容及要求有重大偏离或保留的；</w:t>
            </w:r>
          </w:p>
          <w:p w14:paraId="7FD77DB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(4)投标人提交的是可选择的报价；</w:t>
            </w:r>
          </w:p>
          <w:p w14:paraId="518AD62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(5)投标人未按招标文件要求对投标进行分项报价；</w:t>
            </w:r>
          </w:p>
          <w:p w14:paraId="736709A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(6)投标文件中提供虚假或失实资料的；</w:t>
            </w:r>
          </w:p>
          <w:p w14:paraId="7D62610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(7)不符合招标文件中规定的其它实质性条款。 </w:t>
            </w:r>
          </w:p>
          <w:p w14:paraId="0178070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评标委员会决定投标的响应性只根据投标文件本身的内容，而不寻求其他的外部证据。</w:t>
            </w:r>
          </w:p>
        </w:tc>
      </w:tr>
      <w:tr w14:paraId="40492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vAlign w:val="center"/>
          </w:tcPr>
          <w:p w14:paraId="29879C2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18</w:t>
            </w:r>
          </w:p>
        </w:tc>
        <w:tc>
          <w:tcPr>
            <w:tcW w:w="696" w:type="dxa"/>
            <w:tcBorders>
              <w:top w:val="single" w:color="auto" w:sz="4" w:space="0"/>
              <w:left w:val="single" w:color="auto" w:sz="4" w:space="0"/>
              <w:bottom w:val="single" w:color="auto" w:sz="4" w:space="0"/>
              <w:right w:val="single" w:color="auto" w:sz="4" w:space="0"/>
            </w:tcBorders>
            <w:vAlign w:val="center"/>
          </w:tcPr>
          <w:p w14:paraId="3556CC6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vAlign w:val="center"/>
          </w:tcPr>
          <w:p w14:paraId="74AE39F8">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17.3.3</w:t>
            </w:r>
          </w:p>
        </w:tc>
        <w:tc>
          <w:tcPr>
            <w:tcW w:w="5925" w:type="dxa"/>
            <w:tcBorders>
              <w:top w:val="single" w:color="auto" w:sz="4" w:space="0"/>
              <w:left w:val="single" w:color="auto" w:sz="4" w:space="0"/>
              <w:bottom w:val="single" w:color="auto" w:sz="4" w:space="0"/>
              <w:right w:val="single" w:color="auto" w:sz="4" w:space="0"/>
            </w:tcBorders>
          </w:tcPr>
          <w:p w14:paraId="1602E455">
            <w:pPr>
              <w:spacing w:line="360" w:lineRule="auto"/>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t>17.3.3投标产品必须满足中华人民共和国相关法律法规及行业的强制性要求，否则该投标人的投标将按照无效投标处理。</w:t>
            </w:r>
          </w:p>
        </w:tc>
      </w:tr>
      <w:tr w14:paraId="67652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96" w:type="dxa"/>
            <w:tcBorders>
              <w:top w:val="single" w:color="auto" w:sz="4" w:space="0"/>
            </w:tcBorders>
            <w:vAlign w:val="center"/>
          </w:tcPr>
          <w:p w14:paraId="1E71205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19</w:t>
            </w:r>
          </w:p>
        </w:tc>
        <w:tc>
          <w:tcPr>
            <w:tcW w:w="696" w:type="dxa"/>
            <w:tcBorders>
              <w:top w:val="single" w:color="auto" w:sz="4" w:space="0"/>
            </w:tcBorders>
            <w:vAlign w:val="center"/>
          </w:tcPr>
          <w:p w14:paraId="5E643AC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tcBorders>
              <w:top w:val="single" w:color="auto" w:sz="4" w:space="0"/>
            </w:tcBorders>
            <w:vAlign w:val="center"/>
          </w:tcPr>
          <w:p w14:paraId="51A2EC6A">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17.3.4</w:t>
            </w:r>
          </w:p>
        </w:tc>
        <w:tc>
          <w:tcPr>
            <w:tcW w:w="5925" w:type="dxa"/>
            <w:tcBorders>
              <w:top w:val="single" w:color="auto" w:sz="4" w:space="0"/>
            </w:tcBorders>
            <w:vAlign w:val="center"/>
          </w:tcPr>
          <w:p w14:paraId="50B9250E">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17.3.4采购单位（或使用单位）、招标代理机构有下列情形之一的，将被认定为采购单位（或使用单位）、招标代理机构与投标人有串通投标行为，该投标人投标作无效投标处理：</w:t>
            </w:r>
          </w:p>
          <w:p w14:paraId="47F0F05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（1）在开标前开启投标文件并将有关信息泄露给其他投标人;</w:t>
            </w:r>
          </w:p>
          <w:p w14:paraId="74334E5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（2）评审结果公告前，直接或者间接向投标人泄露评标委员会成员等信息；</w:t>
            </w:r>
          </w:p>
          <w:p w14:paraId="4C8BAC8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（3）明示或者暗示投标人压低或者抬高投标报价；</w:t>
            </w:r>
          </w:p>
          <w:p w14:paraId="2044575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（4）授意投标人撤换、修改投标文件（按18条进行的澄清除外）；</w:t>
            </w:r>
          </w:p>
          <w:p w14:paraId="19CD17B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（5）明示或者暗示投标人为特定投标人中标提供方便；</w:t>
            </w:r>
          </w:p>
          <w:p w14:paraId="30578A4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（6）为谋求特定投标人中标而采取的其他串通行为。</w:t>
            </w:r>
          </w:p>
        </w:tc>
      </w:tr>
      <w:tr w14:paraId="45F33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14:paraId="4FE0055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20</w:t>
            </w:r>
          </w:p>
        </w:tc>
        <w:tc>
          <w:tcPr>
            <w:tcW w:w="696" w:type="dxa"/>
            <w:vAlign w:val="center"/>
          </w:tcPr>
          <w:p w14:paraId="30BA9B2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vAlign w:val="center"/>
          </w:tcPr>
          <w:p w14:paraId="1B192FCA">
            <w:pPr>
              <w:spacing w:line="360" w:lineRule="auto"/>
              <w:jc w:val="center"/>
              <w:rPr>
                <w:rFonts w:ascii="宋体" w:hAnsi="宋体" w:cs="宋体"/>
                <w:color w:val="auto"/>
                <w:sz w:val="24"/>
                <w:szCs w:val="24"/>
                <w:highlight w:val="none"/>
              </w:rPr>
            </w:pPr>
            <w:r>
              <w:rPr>
                <w:rFonts w:hint="eastAsia" w:ascii="宋体" w:hAnsi="宋体" w:cs="宋体"/>
                <w:b/>
                <w:color w:val="auto"/>
                <w:kern w:val="0"/>
                <w:sz w:val="24"/>
                <w:szCs w:val="24"/>
                <w:highlight w:val="none"/>
              </w:rPr>
              <w:t>17.3.5</w:t>
            </w:r>
          </w:p>
        </w:tc>
        <w:tc>
          <w:tcPr>
            <w:tcW w:w="5925" w:type="dxa"/>
            <w:vAlign w:val="center"/>
          </w:tcPr>
          <w:p w14:paraId="44820C33">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kern w:val="0"/>
                <w:sz w:val="24"/>
                <w:szCs w:val="24"/>
                <w:highlight w:val="none"/>
              </w:rPr>
              <w:t>17.3.5出现17.3.4情形之一的，作无效投标处理的</w:t>
            </w:r>
            <w:r>
              <w:rPr>
                <w:rFonts w:hint="eastAsia" w:ascii="宋体" w:hAnsi="宋体" w:cs="宋体"/>
                <w:b/>
                <w:color w:val="auto"/>
                <w:sz w:val="24"/>
                <w:szCs w:val="24"/>
                <w:highlight w:val="none"/>
              </w:rPr>
              <w:t>投标人的投标保证金将予以没收，招标代理机构有权上报财政部门取消其采购供应商资格、并按有关规定予以处罚。</w:t>
            </w:r>
          </w:p>
        </w:tc>
      </w:tr>
      <w:tr w14:paraId="4A2AD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14:paraId="2C4991C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21</w:t>
            </w:r>
          </w:p>
        </w:tc>
        <w:tc>
          <w:tcPr>
            <w:tcW w:w="696" w:type="dxa"/>
            <w:vAlign w:val="center"/>
          </w:tcPr>
          <w:p w14:paraId="04AC98B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vAlign w:val="center"/>
          </w:tcPr>
          <w:p w14:paraId="3F46891D">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19.3</w:t>
            </w:r>
          </w:p>
        </w:tc>
        <w:tc>
          <w:tcPr>
            <w:tcW w:w="5925" w:type="dxa"/>
            <w:vAlign w:val="center"/>
          </w:tcPr>
          <w:p w14:paraId="7D85AA5F">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416D4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14:paraId="42793CF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22</w:t>
            </w:r>
          </w:p>
        </w:tc>
        <w:tc>
          <w:tcPr>
            <w:tcW w:w="696" w:type="dxa"/>
            <w:vAlign w:val="center"/>
          </w:tcPr>
          <w:p w14:paraId="363AEA0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1422" w:type="dxa"/>
            <w:vAlign w:val="center"/>
          </w:tcPr>
          <w:p w14:paraId="6124BC2C">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22</w:t>
            </w:r>
          </w:p>
        </w:tc>
        <w:tc>
          <w:tcPr>
            <w:tcW w:w="5925" w:type="dxa"/>
            <w:vAlign w:val="center"/>
          </w:tcPr>
          <w:p w14:paraId="0DD9B9DB">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中标供应商为中小企业的，如需支付履约保证金的，支付比例为中标金额的5%。</w:t>
            </w:r>
            <w:r>
              <w:rPr>
                <w:rFonts w:hint="eastAsia" w:ascii="宋体" w:hAnsi="宋体" w:cs="宋体"/>
                <w:bCs/>
                <w:color w:val="auto"/>
                <w:sz w:val="24"/>
                <w:szCs w:val="24"/>
                <w:highlight w:val="none"/>
              </w:rPr>
              <w:t>否则作无效投标处理。</w:t>
            </w:r>
          </w:p>
        </w:tc>
      </w:tr>
      <w:tr w14:paraId="57CA8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14:paraId="2262C50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23</w:t>
            </w:r>
          </w:p>
        </w:tc>
        <w:tc>
          <w:tcPr>
            <w:tcW w:w="696" w:type="dxa"/>
            <w:vAlign w:val="center"/>
          </w:tcPr>
          <w:p w14:paraId="7FC00BAC">
            <w:pPr>
              <w:spacing w:line="360" w:lineRule="auto"/>
              <w:jc w:val="center"/>
              <w:rPr>
                <w:rFonts w:ascii="宋体" w:hAnsi="宋体" w:cs="宋体"/>
                <w:color w:val="auto"/>
                <w:sz w:val="24"/>
                <w:szCs w:val="24"/>
                <w:highlight w:val="none"/>
              </w:rPr>
            </w:pPr>
          </w:p>
        </w:tc>
        <w:tc>
          <w:tcPr>
            <w:tcW w:w="1422" w:type="dxa"/>
            <w:vAlign w:val="center"/>
          </w:tcPr>
          <w:p w14:paraId="700EE24D">
            <w:pPr>
              <w:spacing w:line="360" w:lineRule="auto"/>
              <w:jc w:val="center"/>
              <w:rPr>
                <w:rFonts w:ascii="宋体" w:hAnsi="宋体" w:cs="宋体"/>
                <w:color w:val="auto"/>
                <w:sz w:val="24"/>
                <w:szCs w:val="24"/>
                <w:highlight w:val="none"/>
              </w:rPr>
            </w:pPr>
          </w:p>
        </w:tc>
        <w:tc>
          <w:tcPr>
            <w:tcW w:w="5925" w:type="dxa"/>
            <w:vAlign w:val="center"/>
          </w:tcPr>
          <w:p w14:paraId="1E009316">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投标人如果为联合体投标，则必须同时满足下列要求，否则</w:t>
            </w:r>
            <w:r>
              <w:rPr>
                <w:rFonts w:hint="eastAsia" w:ascii="宋体" w:hAnsi="宋体" w:cs="宋体"/>
                <w:color w:val="auto"/>
                <w:sz w:val="24"/>
                <w:szCs w:val="24"/>
                <w:highlight w:val="none"/>
              </w:rPr>
              <w:t>该投标人的投标将按照无效投标处理</w:t>
            </w:r>
            <w:r>
              <w:rPr>
                <w:rFonts w:hint="eastAsia" w:ascii="宋体" w:hAnsi="宋体" w:cs="宋体"/>
                <w:bCs/>
                <w:color w:val="auto"/>
                <w:sz w:val="24"/>
                <w:szCs w:val="24"/>
                <w:highlight w:val="none"/>
              </w:rPr>
              <w:t>：</w:t>
            </w:r>
          </w:p>
          <w:p w14:paraId="52DA437C">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①在开标一览表中注明是否联合体投标、联合体组成单位；</w:t>
            </w:r>
          </w:p>
          <w:p w14:paraId="6211359D">
            <w:pPr>
              <w:spacing w:line="360" w:lineRule="auto"/>
              <w:jc w:val="left"/>
              <w:rPr>
                <w:rFonts w:ascii="宋体" w:hAnsi="宋体" w:cs="宋体"/>
                <w:color w:val="auto"/>
                <w:sz w:val="24"/>
                <w:szCs w:val="24"/>
                <w:highlight w:val="none"/>
              </w:rPr>
            </w:pPr>
            <w:r>
              <w:rPr>
                <w:rFonts w:hint="eastAsia" w:ascii="宋体" w:hAnsi="宋体" w:cs="宋体"/>
                <w:bCs/>
                <w:color w:val="auto"/>
                <w:sz w:val="24"/>
                <w:szCs w:val="24"/>
                <w:highlight w:val="none"/>
              </w:rPr>
              <w:t>②在投标文件中提供各方盖章签署的共同投标协议原件。</w:t>
            </w:r>
          </w:p>
        </w:tc>
      </w:tr>
      <w:tr w14:paraId="4ED5A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14:paraId="6ACA924A">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24</w:t>
            </w:r>
          </w:p>
        </w:tc>
        <w:tc>
          <w:tcPr>
            <w:tcW w:w="696" w:type="dxa"/>
            <w:vAlign w:val="center"/>
          </w:tcPr>
          <w:p w14:paraId="1A08F1E0">
            <w:pPr>
              <w:spacing w:line="360" w:lineRule="auto"/>
              <w:jc w:val="center"/>
              <w:rPr>
                <w:rFonts w:ascii="宋体" w:hAnsi="宋体" w:cs="宋体"/>
                <w:color w:val="auto"/>
                <w:sz w:val="24"/>
                <w:szCs w:val="24"/>
                <w:highlight w:val="none"/>
              </w:rPr>
            </w:pPr>
          </w:p>
        </w:tc>
        <w:tc>
          <w:tcPr>
            <w:tcW w:w="1422" w:type="dxa"/>
            <w:vAlign w:val="center"/>
          </w:tcPr>
          <w:p w14:paraId="2E1B7EEE">
            <w:pPr>
              <w:spacing w:line="360" w:lineRule="auto"/>
              <w:jc w:val="center"/>
              <w:rPr>
                <w:rFonts w:ascii="宋体" w:hAnsi="宋体" w:cs="宋体"/>
                <w:color w:val="auto"/>
                <w:sz w:val="24"/>
                <w:szCs w:val="24"/>
                <w:highlight w:val="none"/>
              </w:rPr>
            </w:pPr>
          </w:p>
        </w:tc>
        <w:tc>
          <w:tcPr>
            <w:tcW w:w="5925" w:type="dxa"/>
            <w:vAlign w:val="center"/>
          </w:tcPr>
          <w:p w14:paraId="5089572B">
            <w:pPr>
              <w:spacing w:line="360" w:lineRule="auto"/>
              <w:jc w:val="left"/>
              <w:rPr>
                <w:rFonts w:ascii="宋体" w:hAnsi="宋体" w:cs="宋体"/>
                <w:color w:val="auto"/>
                <w:sz w:val="24"/>
                <w:szCs w:val="24"/>
                <w:highlight w:val="none"/>
              </w:rPr>
            </w:pPr>
            <w:r>
              <w:rPr>
                <w:rFonts w:hint="eastAsia" w:ascii="宋体" w:hAnsi="宋体" w:cs="宋体"/>
                <w:bCs/>
                <w:color w:val="auto"/>
                <w:sz w:val="24"/>
                <w:szCs w:val="24"/>
                <w:highlight w:val="none"/>
              </w:rPr>
              <w:t>投标文件中不得附有采购单</w:t>
            </w:r>
            <w:r>
              <w:rPr>
                <w:rFonts w:hint="eastAsia" w:ascii="宋体" w:hAnsi="宋体" w:cs="宋体"/>
                <w:color w:val="auto"/>
                <w:sz w:val="24"/>
                <w:szCs w:val="24"/>
                <w:highlight w:val="none"/>
              </w:rPr>
              <w:t>位（或使用单位）</w:t>
            </w:r>
            <w:r>
              <w:rPr>
                <w:rFonts w:hint="eastAsia" w:ascii="宋体" w:hAnsi="宋体" w:cs="宋体"/>
                <w:bCs/>
                <w:color w:val="auto"/>
                <w:sz w:val="24"/>
                <w:szCs w:val="24"/>
                <w:highlight w:val="none"/>
              </w:rPr>
              <w:t>不能接受的条款，</w:t>
            </w:r>
            <w:r>
              <w:rPr>
                <w:rFonts w:hint="eastAsia" w:ascii="宋体" w:hAnsi="宋体" w:cs="宋体"/>
                <w:color w:val="auto"/>
                <w:sz w:val="24"/>
                <w:szCs w:val="24"/>
                <w:highlight w:val="none"/>
              </w:rPr>
              <w:t>否则该投标人的投标将按照无效投标处理。</w:t>
            </w:r>
          </w:p>
        </w:tc>
      </w:tr>
      <w:tr w14:paraId="1A03C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14:paraId="292CB0B6">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25</w:t>
            </w:r>
          </w:p>
        </w:tc>
        <w:tc>
          <w:tcPr>
            <w:tcW w:w="696" w:type="dxa"/>
            <w:vAlign w:val="center"/>
          </w:tcPr>
          <w:p w14:paraId="3AEB972E">
            <w:pPr>
              <w:pStyle w:val="4"/>
              <w:snapToGrid w:val="0"/>
              <w:spacing w:line="360" w:lineRule="auto"/>
              <w:ind w:firstLine="0"/>
              <w:jc w:val="center"/>
              <w:rPr>
                <w:rFonts w:ascii="宋体" w:hAnsi="宋体" w:cs="宋体"/>
                <w:color w:val="auto"/>
                <w:sz w:val="24"/>
                <w:szCs w:val="24"/>
                <w:highlight w:val="none"/>
              </w:rPr>
            </w:pPr>
          </w:p>
        </w:tc>
        <w:tc>
          <w:tcPr>
            <w:tcW w:w="1422" w:type="dxa"/>
            <w:vAlign w:val="center"/>
          </w:tcPr>
          <w:p w14:paraId="4AD677B2">
            <w:pPr>
              <w:pStyle w:val="4"/>
              <w:snapToGrid w:val="0"/>
              <w:spacing w:line="360" w:lineRule="auto"/>
              <w:ind w:firstLine="0"/>
              <w:jc w:val="center"/>
              <w:rPr>
                <w:rFonts w:ascii="宋体" w:hAnsi="宋体" w:cs="宋体"/>
                <w:b/>
                <w:color w:val="auto"/>
                <w:sz w:val="24"/>
                <w:szCs w:val="24"/>
                <w:highlight w:val="none"/>
              </w:rPr>
            </w:pPr>
          </w:p>
        </w:tc>
        <w:tc>
          <w:tcPr>
            <w:tcW w:w="5925" w:type="dxa"/>
            <w:vAlign w:val="center"/>
          </w:tcPr>
          <w:p w14:paraId="1F3141A3">
            <w:pPr>
              <w:pStyle w:val="4"/>
              <w:snapToGrid w:val="0"/>
              <w:spacing w:line="360" w:lineRule="auto"/>
              <w:ind w:firstLine="0"/>
              <w:jc w:val="left"/>
              <w:rPr>
                <w:rFonts w:ascii="宋体" w:hAnsi="宋体" w:cs="宋体"/>
                <w:b/>
                <w:color w:val="auto"/>
                <w:sz w:val="24"/>
                <w:szCs w:val="24"/>
                <w:highlight w:val="none"/>
              </w:rPr>
            </w:pPr>
            <w:r>
              <w:rPr>
                <w:rFonts w:hint="eastAsia" w:ascii="宋体" w:hAnsi="宋体" w:cs="宋体"/>
                <w:bCs/>
                <w:color w:val="auto"/>
                <w:sz w:val="24"/>
                <w:szCs w:val="24"/>
                <w:highlight w:val="none"/>
              </w:rPr>
              <w:t>本项目以合同包为单位，对于每个合同包，投标人必须完整地提供合同包要求的所有货物和服务，否则</w:t>
            </w:r>
            <w:r>
              <w:rPr>
                <w:rFonts w:hint="eastAsia" w:ascii="宋体" w:hAnsi="宋体" w:cs="宋体"/>
                <w:color w:val="auto"/>
                <w:sz w:val="24"/>
                <w:szCs w:val="24"/>
                <w:highlight w:val="none"/>
              </w:rPr>
              <w:t>该投标人针对该合同包的投标将按照无效投标处理</w:t>
            </w:r>
            <w:r>
              <w:rPr>
                <w:rFonts w:hint="eastAsia" w:ascii="宋体" w:hAnsi="宋体" w:cs="宋体"/>
                <w:bCs/>
                <w:color w:val="auto"/>
                <w:sz w:val="24"/>
                <w:szCs w:val="24"/>
                <w:highlight w:val="none"/>
              </w:rPr>
              <w:t>。</w:t>
            </w:r>
          </w:p>
        </w:tc>
      </w:tr>
      <w:tr w14:paraId="2AE39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14:paraId="5BA54823">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26</w:t>
            </w:r>
          </w:p>
        </w:tc>
        <w:tc>
          <w:tcPr>
            <w:tcW w:w="696" w:type="dxa"/>
            <w:vAlign w:val="center"/>
          </w:tcPr>
          <w:p w14:paraId="59A6FB91">
            <w:pPr>
              <w:pStyle w:val="4"/>
              <w:snapToGrid w:val="0"/>
              <w:spacing w:line="360" w:lineRule="auto"/>
              <w:ind w:firstLine="0"/>
              <w:jc w:val="center"/>
              <w:rPr>
                <w:rFonts w:ascii="宋体" w:hAnsi="宋体" w:cs="宋体"/>
                <w:b/>
                <w:color w:val="auto"/>
                <w:sz w:val="24"/>
                <w:szCs w:val="24"/>
                <w:highlight w:val="none"/>
              </w:rPr>
            </w:pPr>
          </w:p>
        </w:tc>
        <w:tc>
          <w:tcPr>
            <w:tcW w:w="1422" w:type="dxa"/>
            <w:vAlign w:val="center"/>
          </w:tcPr>
          <w:p w14:paraId="669C1C3F">
            <w:pPr>
              <w:pStyle w:val="4"/>
              <w:snapToGrid w:val="0"/>
              <w:spacing w:line="360" w:lineRule="auto"/>
              <w:ind w:firstLine="0"/>
              <w:jc w:val="center"/>
              <w:rPr>
                <w:rFonts w:ascii="宋体" w:hAnsi="宋体" w:cs="宋体"/>
                <w:b/>
                <w:color w:val="auto"/>
                <w:sz w:val="24"/>
                <w:szCs w:val="24"/>
                <w:highlight w:val="none"/>
              </w:rPr>
            </w:pPr>
          </w:p>
        </w:tc>
        <w:tc>
          <w:tcPr>
            <w:tcW w:w="5925" w:type="dxa"/>
            <w:vAlign w:val="center"/>
          </w:tcPr>
          <w:p w14:paraId="2527849F">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投标人应对其在投标文件中声明的关于中小企业事项的真实性负责，存在以下情形之一的，经评标委员会查实，应认定存在虚假的：</w:t>
            </w:r>
          </w:p>
          <w:p w14:paraId="16883D96">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（1）投标人（包括联合体任一方）不符合“工信部联企业[2011]300号”规定的中小企业标准的；</w:t>
            </w:r>
          </w:p>
          <w:p w14:paraId="0A90F99A">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（2）投标货物全部或部分为使用大型企业注册商标的货物的；</w:t>
            </w:r>
          </w:p>
          <w:p w14:paraId="439DEF1F">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（3）投标文件中标明的小型或微型企业产品的制造商不符合“工信部联企业[2011]300号”规定的小型和微型企业标准的。</w:t>
            </w:r>
          </w:p>
          <w:p w14:paraId="0D20EE90">
            <w:pPr>
              <w:pStyle w:val="4"/>
              <w:snapToGrid w:val="0"/>
              <w:spacing w:line="360" w:lineRule="auto"/>
              <w:ind w:firstLine="0"/>
              <w:jc w:val="left"/>
              <w:rPr>
                <w:rFonts w:ascii="宋体" w:hAnsi="宋体" w:cs="宋体"/>
                <w:b/>
                <w:color w:val="auto"/>
                <w:sz w:val="24"/>
                <w:szCs w:val="24"/>
                <w:highlight w:val="none"/>
              </w:rPr>
            </w:pPr>
            <w:r>
              <w:rPr>
                <w:rFonts w:hint="eastAsia" w:ascii="宋体" w:hAnsi="宋体" w:cs="宋体"/>
                <w:bCs/>
                <w:color w:val="auto"/>
                <w:sz w:val="24"/>
                <w:szCs w:val="24"/>
                <w:highlight w:val="none"/>
              </w:rPr>
              <w:t>在评审过程中发现上述虚假情形的，该投标人的投标作无效投标处理。</w:t>
            </w:r>
          </w:p>
        </w:tc>
      </w:tr>
      <w:tr w14:paraId="1F68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Align w:val="center"/>
          </w:tcPr>
          <w:p w14:paraId="4AA5374D">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27</w:t>
            </w:r>
          </w:p>
        </w:tc>
        <w:tc>
          <w:tcPr>
            <w:tcW w:w="696" w:type="dxa"/>
            <w:vAlign w:val="center"/>
          </w:tcPr>
          <w:p w14:paraId="368A221A">
            <w:pPr>
              <w:pStyle w:val="4"/>
              <w:snapToGrid w:val="0"/>
              <w:spacing w:line="360" w:lineRule="auto"/>
              <w:ind w:firstLine="0"/>
              <w:jc w:val="center"/>
              <w:rPr>
                <w:rFonts w:ascii="宋体" w:hAnsi="宋体" w:cs="宋体"/>
                <w:b/>
                <w:color w:val="auto"/>
                <w:sz w:val="24"/>
                <w:szCs w:val="24"/>
                <w:highlight w:val="none"/>
              </w:rPr>
            </w:pPr>
          </w:p>
        </w:tc>
        <w:tc>
          <w:tcPr>
            <w:tcW w:w="1422" w:type="dxa"/>
            <w:vAlign w:val="center"/>
          </w:tcPr>
          <w:p w14:paraId="0055D775">
            <w:pPr>
              <w:pStyle w:val="4"/>
              <w:snapToGrid w:val="0"/>
              <w:spacing w:line="360" w:lineRule="auto"/>
              <w:ind w:firstLine="0"/>
              <w:jc w:val="center"/>
              <w:rPr>
                <w:rFonts w:ascii="宋体" w:hAnsi="宋体" w:cs="宋体"/>
                <w:b/>
                <w:color w:val="auto"/>
                <w:sz w:val="24"/>
                <w:szCs w:val="24"/>
                <w:highlight w:val="none"/>
              </w:rPr>
            </w:pPr>
          </w:p>
        </w:tc>
        <w:tc>
          <w:tcPr>
            <w:tcW w:w="5925" w:type="dxa"/>
            <w:vAlign w:val="center"/>
          </w:tcPr>
          <w:p w14:paraId="348055D9">
            <w:pPr>
              <w:pStyle w:val="4"/>
              <w:snapToGrid w:val="0"/>
              <w:spacing w:line="360" w:lineRule="auto"/>
              <w:ind w:firstLine="0"/>
              <w:jc w:val="left"/>
              <w:rPr>
                <w:rFonts w:ascii="宋体" w:hAnsi="宋体" w:cs="宋体"/>
                <w:color w:val="auto"/>
                <w:sz w:val="24"/>
                <w:szCs w:val="24"/>
                <w:highlight w:val="none"/>
              </w:rPr>
            </w:pPr>
            <w:r>
              <w:rPr>
                <w:rFonts w:hint="eastAsia" w:ascii="宋体" w:hAnsi="宋体" w:cs="宋体"/>
                <w:bCs/>
                <w:color w:val="auto"/>
                <w:sz w:val="24"/>
                <w:szCs w:val="24"/>
                <w:highlight w:val="none"/>
              </w:rPr>
              <w:t>减半交纳投标保证金的投标人未按照招标文件格式要求在投标文件中提供《中小企业声明函》的，其投标作无效投标处理。</w:t>
            </w:r>
          </w:p>
        </w:tc>
      </w:tr>
      <w:tr w14:paraId="09618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04CD34B6">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28</w:t>
            </w:r>
          </w:p>
        </w:tc>
        <w:tc>
          <w:tcPr>
            <w:tcW w:w="696" w:type="dxa"/>
            <w:tcBorders>
              <w:bottom w:val="single" w:color="auto" w:sz="4" w:space="0"/>
            </w:tcBorders>
            <w:vAlign w:val="center"/>
          </w:tcPr>
          <w:p w14:paraId="23B45851">
            <w:pPr>
              <w:pStyle w:val="4"/>
              <w:snapToGrid w:val="0"/>
              <w:spacing w:line="360" w:lineRule="auto"/>
              <w:ind w:firstLine="0"/>
              <w:jc w:val="center"/>
              <w:rPr>
                <w:rFonts w:ascii="宋体" w:hAnsi="宋体" w:cs="宋体"/>
                <w:b/>
                <w:color w:val="auto"/>
                <w:sz w:val="24"/>
                <w:szCs w:val="24"/>
                <w:highlight w:val="none"/>
              </w:rPr>
            </w:pPr>
          </w:p>
        </w:tc>
        <w:tc>
          <w:tcPr>
            <w:tcW w:w="1422" w:type="dxa"/>
            <w:tcBorders>
              <w:bottom w:val="single" w:color="auto" w:sz="4" w:space="0"/>
            </w:tcBorders>
            <w:vAlign w:val="center"/>
          </w:tcPr>
          <w:p w14:paraId="40F59343">
            <w:pPr>
              <w:pStyle w:val="4"/>
              <w:snapToGrid w:val="0"/>
              <w:spacing w:line="360" w:lineRule="auto"/>
              <w:ind w:firstLine="0"/>
              <w:jc w:val="center"/>
              <w:rPr>
                <w:rFonts w:ascii="宋体" w:hAnsi="宋体" w:cs="宋体"/>
                <w:b/>
                <w:color w:val="auto"/>
                <w:sz w:val="24"/>
                <w:szCs w:val="24"/>
                <w:highlight w:val="none"/>
              </w:rPr>
            </w:pPr>
          </w:p>
        </w:tc>
        <w:tc>
          <w:tcPr>
            <w:tcW w:w="5925" w:type="dxa"/>
            <w:tcBorders>
              <w:bottom w:val="single" w:color="auto" w:sz="4" w:space="0"/>
            </w:tcBorders>
            <w:vAlign w:val="center"/>
          </w:tcPr>
          <w:p w14:paraId="755FF9A6">
            <w:pPr>
              <w:pStyle w:val="4"/>
              <w:snapToGrid w:val="0"/>
              <w:spacing w:line="360" w:lineRule="auto"/>
              <w:ind w:firstLine="0"/>
              <w:rPr>
                <w:rFonts w:ascii="宋体" w:hAnsi="宋体" w:cs="宋体"/>
                <w:b/>
                <w:color w:val="auto"/>
                <w:sz w:val="24"/>
                <w:szCs w:val="24"/>
                <w:highlight w:val="none"/>
              </w:rPr>
            </w:pPr>
            <w:r>
              <w:rPr>
                <w:rFonts w:hint="eastAsia" w:ascii="宋体" w:hAnsi="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44AEA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15547A9C">
            <w:pPr>
              <w:pStyle w:val="4"/>
              <w:snapToGrid w:val="0"/>
              <w:spacing w:line="360" w:lineRule="auto"/>
              <w:ind w:firstLine="0"/>
              <w:jc w:val="center"/>
              <w:rPr>
                <w:rFonts w:ascii="宋体" w:hAnsi="宋体" w:cs="宋体"/>
                <w:color w:val="auto"/>
                <w:sz w:val="24"/>
                <w:szCs w:val="24"/>
                <w:highlight w:val="none"/>
              </w:rPr>
            </w:pPr>
            <w:r>
              <w:rPr>
                <w:rFonts w:hint="eastAsia" w:ascii="宋体" w:hAnsi="宋体" w:cs="宋体"/>
                <w:color w:val="auto"/>
                <w:sz w:val="24"/>
                <w:szCs w:val="24"/>
                <w:highlight w:val="none"/>
              </w:rPr>
              <w:t>29</w:t>
            </w:r>
          </w:p>
        </w:tc>
        <w:tc>
          <w:tcPr>
            <w:tcW w:w="696" w:type="dxa"/>
            <w:tcBorders>
              <w:bottom w:val="single" w:color="auto" w:sz="4" w:space="0"/>
            </w:tcBorders>
            <w:vAlign w:val="center"/>
          </w:tcPr>
          <w:p w14:paraId="18796CCA">
            <w:pPr>
              <w:pStyle w:val="4"/>
              <w:snapToGrid w:val="0"/>
              <w:spacing w:line="360" w:lineRule="auto"/>
              <w:ind w:firstLine="0"/>
              <w:jc w:val="center"/>
              <w:rPr>
                <w:rFonts w:ascii="宋体" w:hAnsi="宋体" w:cs="宋体"/>
                <w:b/>
                <w:color w:val="auto"/>
                <w:sz w:val="24"/>
                <w:szCs w:val="24"/>
                <w:highlight w:val="none"/>
              </w:rPr>
            </w:pPr>
          </w:p>
        </w:tc>
        <w:tc>
          <w:tcPr>
            <w:tcW w:w="1422" w:type="dxa"/>
            <w:tcBorders>
              <w:bottom w:val="single" w:color="auto" w:sz="4" w:space="0"/>
            </w:tcBorders>
            <w:vAlign w:val="center"/>
          </w:tcPr>
          <w:p w14:paraId="4448A64C">
            <w:pPr>
              <w:pStyle w:val="4"/>
              <w:snapToGrid w:val="0"/>
              <w:spacing w:line="360" w:lineRule="auto"/>
              <w:ind w:firstLine="0"/>
              <w:jc w:val="center"/>
              <w:rPr>
                <w:rFonts w:ascii="宋体" w:hAnsi="宋体" w:cs="宋体"/>
                <w:b/>
                <w:color w:val="auto"/>
                <w:sz w:val="24"/>
                <w:szCs w:val="24"/>
                <w:highlight w:val="none"/>
              </w:rPr>
            </w:pPr>
          </w:p>
        </w:tc>
        <w:tc>
          <w:tcPr>
            <w:tcW w:w="5925" w:type="dxa"/>
            <w:tcBorders>
              <w:bottom w:val="single" w:color="auto" w:sz="4" w:space="0"/>
            </w:tcBorders>
            <w:vAlign w:val="center"/>
          </w:tcPr>
          <w:p w14:paraId="1B320E56">
            <w:pPr>
              <w:spacing w:line="360" w:lineRule="auto"/>
              <w:rPr>
                <w:rFonts w:ascii="宋体" w:hAnsi="宋体" w:cs="宋体"/>
                <w:b/>
                <w:color w:val="auto"/>
                <w:sz w:val="24"/>
                <w:szCs w:val="24"/>
                <w:highlight w:val="none"/>
              </w:rPr>
            </w:pPr>
            <w:r>
              <w:rPr>
                <w:rFonts w:hint="eastAsia" w:ascii="宋体" w:hAnsi="宋体" w:cs="宋体"/>
                <w:bCs/>
                <w:color w:val="auto"/>
                <w:sz w:val="24"/>
                <w:szCs w:val="24"/>
                <w:highlight w:val="none"/>
              </w:rPr>
              <w:t>其他不满足招标文件要求经评标委员会认定须作无效投标处理的。</w:t>
            </w:r>
          </w:p>
        </w:tc>
      </w:tr>
      <w:tr w14:paraId="07824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401BC4E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30</w:t>
            </w:r>
          </w:p>
        </w:tc>
        <w:tc>
          <w:tcPr>
            <w:tcW w:w="696" w:type="dxa"/>
            <w:tcBorders>
              <w:bottom w:val="single" w:color="auto" w:sz="4" w:space="0"/>
            </w:tcBorders>
            <w:vAlign w:val="center"/>
          </w:tcPr>
          <w:p w14:paraId="0D5E0F1C">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3D45C735">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334C03AC">
            <w:pPr>
              <w:pStyle w:val="16"/>
              <w:spacing w:line="360" w:lineRule="auto"/>
              <w:rPr>
                <w:rFonts w:hAnsi="宋体" w:cs="宋体"/>
                <w:color w:val="auto"/>
                <w:highlight w:val="none"/>
              </w:rPr>
            </w:pPr>
            <w:r>
              <w:rPr>
                <w:rFonts w:hint="eastAsia" w:hAnsi="宋体" w:cs="宋体"/>
                <w:color w:val="auto"/>
                <w:highlight w:val="none"/>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p w14:paraId="175ACCEB">
            <w:pPr>
              <w:spacing w:line="360" w:lineRule="auto"/>
              <w:rPr>
                <w:rFonts w:ascii="宋体" w:hAnsi="宋体" w:cs="宋体"/>
                <w:color w:val="auto"/>
                <w:sz w:val="24"/>
                <w:szCs w:val="24"/>
                <w:highlight w:val="none"/>
              </w:rPr>
            </w:pPr>
          </w:p>
        </w:tc>
      </w:tr>
      <w:tr w14:paraId="30D79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3A476A7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31</w:t>
            </w:r>
          </w:p>
        </w:tc>
        <w:tc>
          <w:tcPr>
            <w:tcW w:w="696" w:type="dxa"/>
            <w:tcBorders>
              <w:bottom w:val="single" w:color="auto" w:sz="4" w:space="0"/>
            </w:tcBorders>
            <w:vAlign w:val="center"/>
          </w:tcPr>
          <w:p w14:paraId="21ECC249">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0207EB40">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0D9740CC">
            <w:pPr>
              <w:spacing w:line="360" w:lineRule="auto"/>
              <w:rPr>
                <w:rFonts w:ascii="宋体" w:hAnsi="宋体" w:cs="宋体"/>
                <w:color w:val="auto"/>
                <w:sz w:val="24"/>
                <w:szCs w:val="24"/>
                <w:highlight w:val="none"/>
              </w:rPr>
            </w:pPr>
            <w:r>
              <w:rPr>
                <w:rFonts w:ascii="宋体" w:hAnsi="宋体" w:cs="宋体"/>
                <w:color w:val="auto"/>
                <w:sz w:val="24"/>
                <w:szCs w:val="24"/>
                <w:highlight w:val="none"/>
              </w:rPr>
              <w:t>二</w:t>
            </w:r>
            <w:r>
              <w:rPr>
                <w:rFonts w:hint="eastAsia" w:ascii="宋体" w:hAnsi="宋体" w:cs="宋体"/>
                <w:color w:val="auto"/>
                <w:sz w:val="24"/>
                <w:szCs w:val="24"/>
                <w:highlight w:val="none"/>
              </w:rPr>
              <w:t>、品目号1-1</w:t>
            </w:r>
            <w:r>
              <w:rPr>
                <w:rFonts w:cs="仿宋" w:asciiTheme="minorEastAsia" w:hAnsiTheme="minorEastAsia" w:eastAsiaTheme="minorEastAsia"/>
                <w:b/>
                <w:color w:val="auto"/>
                <w:sz w:val="24"/>
                <w:szCs w:val="24"/>
                <w:highlight w:val="none"/>
              </w:rPr>
              <w:t>*1</w:t>
            </w:r>
            <w:r>
              <w:rPr>
                <w:rFonts w:hint="eastAsia" w:cs="仿宋" w:asciiTheme="minorEastAsia" w:hAnsiTheme="minorEastAsia" w:eastAsiaTheme="minorEastAsia"/>
                <w:b/>
                <w:color w:val="auto"/>
                <w:sz w:val="24"/>
                <w:szCs w:val="24"/>
                <w:highlight w:val="none"/>
              </w:rPr>
              <w:t>、箱体采用冷轧钢材质或铝合金材质外壳，内置机箱锁安全防盗，壁挂式安装。像素≥</w:t>
            </w:r>
            <w:r>
              <w:rPr>
                <w:rFonts w:cs="仿宋" w:asciiTheme="minorEastAsia" w:hAnsiTheme="minorEastAsia" w:eastAsiaTheme="minorEastAsia"/>
                <w:b/>
                <w:color w:val="auto"/>
                <w:sz w:val="24"/>
                <w:szCs w:val="24"/>
                <w:highlight w:val="none"/>
              </w:rPr>
              <w:t>1000</w:t>
            </w:r>
            <w:r>
              <w:rPr>
                <w:rFonts w:hint="eastAsia" w:cs="仿宋" w:asciiTheme="minorEastAsia" w:hAnsiTheme="minorEastAsia" w:eastAsiaTheme="minorEastAsia"/>
                <w:b/>
                <w:color w:val="auto"/>
                <w:sz w:val="24"/>
                <w:szCs w:val="24"/>
                <w:highlight w:val="none"/>
              </w:rPr>
              <w:t>万像素（不含软件插值），物理分辨率≥</w:t>
            </w:r>
            <w:r>
              <w:rPr>
                <w:rFonts w:cs="仿宋" w:asciiTheme="minorEastAsia" w:hAnsiTheme="minorEastAsia" w:eastAsiaTheme="minorEastAsia"/>
                <w:b/>
                <w:color w:val="auto"/>
                <w:sz w:val="24"/>
                <w:szCs w:val="24"/>
                <w:highlight w:val="none"/>
              </w:rPr>
              <w:t>3600*2700</w:t>
            </w:r>
            <w:r>
              <w:rPr>
                <w:rFonts w:hint="eastAsia" w:cs="仿宋" w:asciiTheme="minorEastAsia" w:hAnsiTheme="minorEastAsia" w:eastAsiaTheme="minorEastAsia"/>
                <w:b/>
                <w:color w:val="auto"/>
                <w:sz w:val="24"/>
                <w:szCs w:val="24"/>
                <w:highlight w:val="none"/>
              </w:rPr>
              <w:t>；拍摄幅面≥</w:t>
            </w:r>
            <w:r>
              <w:rPr>
                <w:rFonts w:cs="仿宋" w:asciiTheme="minorEastAsia" w:hAnsiTheme="minorEastAsia" w:eastAsiaTheme="minorEastAsia"/>
                <w:b/>
                <w:color w:val="auto"/>
                <w:sz w:val="24"/>
                <w:szCs w:val="24"/>
                <w:highlight w:val="none"/>
              </w:rPr>
              <w:t>A4</w:t>
            </w:r>
            <w:r>
              <w:rPr>
                <w:rFonts w:hint="eastAsia" w:cs="仿宋" w:asciiTheme="minorEastAsia" w:hAnsiTheme="minorEastAsia" w:eastAsiaTheme="minorEastAsia"/>
                <w:b/>
                <w:color w:val="auto"/>
                <w:sz w:val="24"/>
                <w:szCs w:val="24"/>
                <w:highlight w:val="none"/>
              </w:rPr>
              <w:t>。</w:t>
            </w:r>
          </w:p>
        </w:tc>
      </w:tr>
      <w:tr w14:paraId="2C631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4E7E290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32</w:t>
            </w:r>
          </w:p>
        </w:tc>
        <w:tc>
          <w:tcPr>
            <w:tcW w:w="696" w:type="dxa"/>
            <w:tcBorders>
              <w:bottom w:val="single" w:color="auto" w:sz="4" w:space="0"/>
            </w:tcBorders>
            <w:vAlign w:val="center"/>
          </w:tcPr>
          <w:p w14:paraId="0CE390B2">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248E9442">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435F7D30">
            <w:pPr>
              <w:spacing w:line="360" w:lineRule="auto"/>
              <w:rPr>
                <w:rFonts w:ascii="宋体" w:hAnsi="宋体" w:cs="宋体"/>
                <w:color w:val="auto"/>
                <w:sz w:val="24"/>
                <w:szCs w:val="24"/>
                <w:highlight w:val="none"/>
              </w:rPr>
            </w:pPr>
            <w:r>
              <w:rPr>
                <w:rFonts w:cs="仿宋" w:asciiTheme="minorEastAsia" w:hAnsiTheme="minorEastAsia" w:eastAsiaTheme="minorEastAsia"/>
                <w:b/>
                <w:color w:val="auto"/>
                <w:sz w:val="24"/>
                <w:szCs w:val="24"/>
                <w:highlight w:val="none"/>
              </w:rPr>
              <w:t>*5</w:t>
            </w:r>
            <w:r>
              <w:rPr>
                <w:rFonts w:hint="eastAsia" w:cs="仿宋" w:asciiTheme="minorEastAsia" w:hAnsiTheme="minorEastAsia" w:eastAsiaTheme="minorEastAsia"/>
                <w:b/>
                <w:color w:val="auto"/>
                <w:sz w:val="24"/>
                <w:szCs w:val="24"/>
                <w:highlight w:val="none"/>
              </w:rPr>
              <w:t>、软件界面与功能图标内嵌中文，清晰易用，老师不用查阅帮助就能知道各功能如何使用，减少误操作。</w:t>
            </w:r>
          </w:p>
        </w:tc>
      </w:tr>
      <w:tr w14:paraId="46E45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7A0451F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33</w:t>
            </w:r>
          </w:p>
        </w:tc>
        <w:tc>
          <w:tcPr>
            <w:tcW w:w="696" w:type="dxa"/>
            <w:tcBorders>
              <w:bottom w:val="single" w:color="auto" w:sz="4" w:space="0"/>
            </w:tcBorders>
            <w:vAlign w:val="center"/>
          </w:tcPr>
          <w:p w14:paraId="09279EB8">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0AEB0582">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1B1CABB2">
            <w:pPr>
              <w:spacing w:line="360" w:lineRule="auto"/>
              <w:rPr>
                <w:rFonts w:ascii="宋体" w:hAnsi="宋体" w:cs="宋体"/>
                <w:color w:val="auto"/>
                <w:sz w:val="24"/>
                <w:szCs w:val="24"/>
                <w:highlight w:val="none"/>
              </w:rPr>
            </w:pPr>
            <w:r>
              <w:rPr>
                <w:rFonts w:cs="仿宋" w:asciiTheme="minorEastAsia" w:hAnsiTheme="minorEastAsia" w:eastAsiaTheme="minorEastAsia"/>
                <w:b/>
                <w:color w:val="auto"/>
                <w:sz w:val="24"/>
                <w:szCs w:val="24"/>
                <w:highlight w:val="none"/>
              </w:rPr>
              <w:t>*6</w:t>
            </w:r>
            <w:r>
              <w:rPr>
                <w:rFonts w:hint="eastAsia" w:cs="仿宋" w:asciiTheme="minorEastAsia" w:hAnsiTheme="minorEastAsia" w:eastAsiaTheme="minorEastAsia"/>
                <w:b/>
                <w:color w:val="auto"/>
                <w:sz w:val="24"/>
                <w:szCs w:val="24"/>
                <w:highlight w:val="none"/>
              </w:rPr>
              <w:t>、软件功能：提供多种画笔选择，实现即时划线批注，画笔的设置效果可以通过预览框所见所得。有清空、擦除及桌面白板批注、保存、动态文字添加功能，具有对比教学等功能，批注侧栏可一键隐藏；触摸即时自由缩放。</w:t>
            </w:r>
          </w:p>
        </w:tc>
      </w:tr>
      <w:tr w14:paraId="5AD07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2D1A581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34</w:t>
            </w:r>
          </w:p>
        </w:tc>
        <w:tc>
          <w:tcPr>
            <w:tcW w:w="696" w:type="dxa"/>
            <w:tcBorders>
              <w:bottom w:val="single" w:color="auto" w:sz="4" w:space="0"/>
            </w:tcBorders>
            <w:vAlign w:val="center"/>
          </w:tcPr>
          <w:p w14:paraId="4E6F5248">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36559EC5">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408EC67A">
            <w:pPr>
              <w:spacing w:line="360" w:lineRule="auto"/>
              <w:rPr>
                <w:rFonts w:ascii="宋体" w:hAnsi="宋体" w:cs="宋体"/>
                <w:color w:val="auto"/>
                <w:sz w:val="24"/>
                <w:szCs w:val="24"/>
                <w:highlight w:val="none"/>
              </w:rPr>
            </w:pPr>
            <w:r>
              <w:rPr>
                <w:rFonts w:ascii="宋体" w:hAnsi="宋体" w:cs="宋体"/>
                <w:color w:val="auto"/>
                <w:sz w:val="24"/>
                <w:szCs w:val="24"/>
                <w:highlight w:val="none"/>
              </w:rPr>
              <w:t>品目号</w:t>
            </w:r>
            <w:r>
              <w:rPr>
                <w:rFonts w:hint="eastAsia" w:ascii="宋体" w:hAnsi="宋体" w:cs="宋体"/>
                <w:color w:val="auto"/>
                <w:sz w:val="24"/>
                <w:szCs w:val="24"/>
                <w:highlight w:val="none"/>
              </w:rPr>
              <w:t>1-2</w:t>
            </w:r>
            <w:r>
              <w:rPr>
                <w:rFonts w:cs="仿宋" w:asciiTheme="minorEastAsia" w:hAnsiTheme="minorEastAsia" w:eastAsiaTheme="minorEastAsia"/>
                <w:b/>
                <w:color w:val="auto"/>
                <w:sz w:val="24"/>
                <w:szCs w:val="24"/>
                <w:highlight w:val="none"/>
              </w:rPr>
              <w:t>*2</w:t>
            </w:r>
            <w:r>
              <w:rPr>
                <w:rFonts w:hint="eastAsia" w:cs="仿宋" w:asciiTheme="minorEastAsia" w:hAnsiTheme="minorEastAsia" w:eastAsiaTheme="minorEastAsia"/>
                <w:b/>
                <w:color w:val="auto"/>
                <w:sz w:val="24"/>
                <w:szCs w:val="24"/>
                <w:highlight w:val="none"/>
              </w:rPr>
              <w:t>、像素≥</w:t>
            </w:r>
            <w:r>
              <w:rPr>
                <w:rFonts w:cs="仿宋" w:asciiTheme="minorEastAsia" w:hAnsiTheme="minorEastAsia" w:eastAsiaTheme="minorEastAsia"/>
                <w:b/>
                <w:color w:val="auto"/>
                <w:sz w:val="24"/>
                <w:szCs w:val="24"/>
                <w:highlight w:val="none"/>
              </w:rPr>
              <w:t>1000</w:t>
            </w:r>
            <w:r>
              <w:rPr>
                <w:rFonts w:hint="eastAsia" w:cs="仿宋" w:asciiTheme="minorEastAsia" w:hAnsiTheme="minorEastAsia" w:eastAsiaTheme="minorEastAsia"/>
                <w:b/>
                <w:color w:val="auto"/>
                <w:sz w:val="24"/>
                <w:szCs w:val="24"/>
                <w:highlight w:val="none"/>
              </w:rPr>
              <w:t>万，物理分辨率≥</w:t>
            </w:r>
            <w:r>
              <w:rPr>
                <w:rFonts w:cs="仿宋" w:asciiTheme="minorEastAsia" w:hAnsiTheme="minorEastAsia" w:eastAsiaTheme="minorEastAsia"/>
                <w:b/>
                <w:color w:val="auto"/>
                <w:sz w:val="24"/>
                <w:szCs w:val="24"/>
                <w:highlight w:val="none"/>
              </w:rPr>
              <w:t>3200*2400</w:t>
            </w:r>
            <w:r>
              <w:rPr>
                <w:rFonts w:hint="eastAsia" w:cs="仿宋" w:asciiTheme="minorEastAsia" w:hAnsiTheme="minorEastAsia" w:eastAsiaTheme="minorEastAsia"/>
                <w:b/>
                <w:color w:val="auto"/>
                <w:sz w:val="24"/>
                <w:szCs w:val="24"/>
                <w:highlight w:val="none"/>
              </w:rPr>
              <w:t>；拍摄最大幅面≥</w:t>
            </w:r>
            <w:r>
              <w:rPr>
                <w:rFonts w:cs="仿宋" w:asciiTheme="minorEastAsia" w:hAnsiTheme="minorEastAsia" w:eastAsiaTheme="minorEastAsia"/>
                <w:b/>
                <w:color w:val="auto"/>
                <w:sz w:val="24"/>
                <w:szCs w:val="24"/>
                <w:highlight w:val="none"/>
              </w:rPr>
              <w:t>A3</w:t>
            </w:r>
            <w:r>
              <w:rPr>
                <w:rFonts w:hint="eastAsia" w:cs="仿宋" w:asciiTheme="minorEastAsia" w:hAnsiTheme="minorEastAsia" w:eastAsiaTheme="minorEastAsia"/>
                <w:b/>
                <w:color w:val="auto"/>
                <w:sz w:val="24"/>
                <w:szCs w:val="24"/>
                <w:highlight w:val="none"/>
              </w:rPr>
              <w:t>，标配软垫。</w:t>
            </w:r>
          </w:p>
        </w:tc>
      </w:tr>
      <w:tr w14:paraId="7C49C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22BFB7C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w:t>
            </w:r>
          </w:p>
        </w:tc>
        <w:tc>
          <w:tcPr>
            <w:tcW w:w="696" w:type="dxa"/>
            <w:tcBorders>
              <w:bottom w:val="single" w:color="auto" w:sz="4" w:space="0"/>
            </w:tcBorders>
            <w:vAlign w:val="center"/>
          </w:tcPr>
          <w:p w14:paraId="5BFCA171">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3FCB7488">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6F34FD02">
            <w:pPr>
              <w:spacing w:line="360" w:lineRule="auto"/>
              <w:rPr>
                <w:rFonts w:ascii="宋体" w:hAnsi="宋体" w:cs="宋体"/>
                <w:bCs/>
                <w:color w:val="auto"/>
                <w:sz w:val="24"/>
                <w:szCs w:val="24"/>
                <w:highlight w:val="none"/>
              </w:rPr>
            </w:pPr>
            <w:r>
              <w:rPr>
                <w:rFonts w:cs="仿宋" w:asciiTheme="minorEastAsia" w:hAnsiTheme="minorEastAsia" w:eastAsiaTheme="minorEastAsia"/>
                <w:b/>
                <w:color w:val="auto"/>
                <w:sz w:val="24"/>
                <w:szCs w:val="24"/>
                <w:highlight w:val="none"/>
              </w:rPr>
              <w:t>*6</w:t>
            </w:r>
            <w:r>
              <w:rPr>
                <w:rFonts w:hint="eastAsia" w:cs="仿宋" w:asciiTheme="minorEastAsia" w:hAnsiTheme="minorEastAsia" w:eastAsiaTheme="minorEastAsia"/>
                <w:b/>
                <w:color w:val="auto"/>
                <w:sz w:val="24"/>
                <w:szCs w:val="24"/>
                <w:highlight w:val="none"/>
              </w:rPr>
              <w:t>、界面与功能图标内嵌中文，清晰易用，老师不用查阅帮助就能使用，减少误操作。软件功能：预设多种笔划、粗细及颜色供选择，预设的效果可以通过预览框显示，支持对展台画面联同批注内容进行同步缩放、移动，电子白板、对比教学等功能。</w:t>
            </w:r>
          </w:p>
        </w:tc>
      </w:tr>
      <w:tr w14:paraId="11981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677A573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36</w:t>
            </w:r>
          </w:p>
        </w:tc>
        <w:tc>
          <w:tcPr>
            <w:tcW w:w="696" w:type="dxa"/>
            <w:tcBorders>
              <w:bottom w:val="single" w:color="auto" w:sz="4" w:space="0"/>
            </w:tcBorders>
            <w:vAlign w:val="center"/>
          </w:tcPr>
          <w:p w14:paraId="60D75A50">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41EB983A">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28267725">
            <w:pPr>
              <w:spacing w:line="360" w:lineRule="auto"/>
              <w:rPr>
                <w:rFonts w:ascii="宋体" w:hAnsi="宋体" w:cs="宋体"/>
                <w:bCs/>
                <w:color w:val="auto"/>
                <w:sz w:val="24"/>
                <w:szCs w:val="24"/>
                <w:highlight w:val="none"/>
              </w:rPr>
            </w:pPr>
            <w:r>
              <w:rPr>
                <w:rFonts w:ascii="宋体" w:hAnsi="宋体" w:cs="宋体"/>
                <w:bCs/>
                <w:color w:val="auto"/>
                <w:sz w:val="24"/>
                <w:szCs w:val="24"/>
                <w:highlight w:val="none"/>
              </w:rPr>
              <w:t>品目号</w:t>
            </w:r>
            <w:r>
              <w:rPr>
                <w:rFonts w:hint="eastAsia" w:ascii="宋体" w:hAnsi="宋体" w:cs="宋体"/>
                <w:bCs/>
                <w:color w:val="auto"/>
                <w:sz w:val="24"/>
                <w:szCs w:val="24"/>
                <w:highlight w:val="none"/>
              </w:rPr>
              <w:t>1-3</w:t>
            </w:r>
            <w:r>
              <w:rPr>
                <w:rFonts w:cs="仿宋" w:asciiTheme="minorEastAsia" w:hAnsiTheme="minorEastAsia" w:eastAsiaTheme="minorEastAsia"/>
                <w:b/>
                <w:color w:val="auto"/>
                <w:sz w:val="24"/>
                <w:szCs w:val="24"/>
                <w:highlight w:val="none"/>
              </w:rPr>
              <w:t xml:space="preserve">*2 </w:t>
            </w:r>
            <w:r>
              <w:rPr>
                <w:rFonts w:hint="eastAsia" w:cs="仿宋" w:asciiTheme="minorEastAsia" w:hAnsiTheme="minorEastAsia" w:eastAsiaTheme="minorEastAsia"/>
                <w:b/>
                <w:color w:val="auto"/>
                <w:sz w:val="24"/>
                <w:szCs w:val="24"/>
                <w:highlight w:val="none"/>
              </w:rPr>
              <w:t>、机身和文稿台采用一插到位的设计方式，简便拆装工序，精准定位、稳固大方</w:t>
            </w:r>
            <w:r>
              <w:rPr>
                <w:rFonts w:cs="仿宋" w:asciiTheme="minorEastAsia" w:hAnsiTheme="minorEastAsia" w:eastAsiaTheme="minorEastAsia"/>
                <w:b/>
                <w:color w:val="auto"/>
                <w:sz w:val="24"/>
                <w:szCs w:val="24"/>
                <w:highlight w:val="none"/>
              </w:rPr>
              <w:t>.</w:t>
            </w:r>
            <w:r>
              <w:rPr>
                <w:rFonts w:hint="eastAsia" w:cs="仿宋" w:asciiTheme="minorEastAsia" w:hAnsiTheme="minorEastAsia" w:eastAsiaTheme="minorEastAsia"/>
                <w:b/>
                <w:color w:val="auto"/>
                <w:sz w:val="24"/>
                <w:szCs w:val="24"/>
                <w:highlight w:val="none"/>
              </w:rPr>
              <w:t>具备</w:t>
            </w:r>
            <w:r>
              <w:rPr>
                <w:rFonts w:cs="仿宋" w:asciiTheme="minorEastAsia" w:hAnsiTheme="minorEastAsia" w:eastAsiaTheme="minorEastAsia"/>
                <w:b/>
                <w:color w:val="auto"/>
                <w:sz w:val="24"/>
                <w:szCs w:val="24"/>
                <w:highlight w:val="none"/>
              </w:rPr>
              <w:t>OCR</w:t>
            </w:r>
            <w:r>
              <w:rPr>
                <w:rFonts w:hint="eastAsia" w:cs="仿宋" w:asciiTheme="minorEastAsia" w:hAnsiTheme="minorEastAsia" w:eastAsiaTheme="minorEastAsia"/>
                <w:b/>
                <w:color w:val="auto"/>
                <w:sz w:val="24"/>
                <w:szCs w:val="24"/>
                <w:highlight w:val="none"/>
              </w:rPr>
              <w:t>文字识别；可免费提供二次开发包。</w:t>
            </w:r>
          </w:p>
        </w:tc>
      </w:tr>
      <w:tr w14:paraId="5E536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747B981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37</w:t>
            </w:r>
          </w:p>
        </w:tc>
        <w:tc>
          <w:tcPr>
            <w:tcW w:w="696" w:type="dxa"/>
            <w:tcBorders>
              <w:bottom w:val="single" w:color="auto" w:sz="4" w:space="0"/>
            </w:tcBorders>
            <w:vAlign w:val="center"/>
          </w:tcPr>
          <w:p w14:paraId="344B8018">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1A0F4AD2">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1E92CE55">
            <w:pPr>
              <w:spacing w:line="360" w:lineRule="auto"/>
              <w:rPr>
                <w:rFonts w:ascii="宋体" w:hAnsi="宋体" w:cs="宋体"/>
                <w:bCs/>
                <w:color w:val="auto"/>
                <w:sz w:val="24"/>
                <w:szCs w:val="24"/>
                <w:highlight w:val="none"/>
              </w:rPr>
            </w:pPr>
            <w:r>
              <w:rPr>
                <w:rFonts w:cs="仿宋" w:asciiTheme="minorEastAsia" w:hAnsiTheme="minorEastAsia" w:eastAsiaTheme="minorEastAsia"/>
                <w:b/>
                <w:color w:val="auto"/>
                <w:sz w:val="24"/>
                <w:szCs w:val="24"/>
                <w:highlight w:val="none"/>
              </w:rPr>
              <w:t>*5</w:t>
            </w:r>
            <w:r>
              <w:rPr>
                <w:rFonts w:hint="eastAsia" w:cs="仿宋" w:asciiTheme="minorEastAsia" w:hAnsiTheme="minorEastAsia" w:eastAsiaTheme="minorEastAsia"/>
                <w:b/>
                <w:color w:val="auto"/>
                <w:sz w:val="24"/>
                <w:szCs w:val="24"/>
                <w:highlight w:val="none"/>
              </w:rPr>
              <w:t>、主摄像头：像素≥</w:t>
            </w:r>
            <w:r>
              <w:rPr>
                <w:rFonts w:cs="仿宋" w:asciiTheme="minorEastAsia" w:hAnsiTheme="minorEastAsia" w:eastAsiaTheme="minorEastAsia"/>
                <w:b/>
                <w:color w:val="auto"/>
                <w:sz w:val="24"/>
                <w:szCs w:val="24"/>
                <w:highlight w:val="none"/>
              </w:rPr>
              <w:t>1000</w:t>
            </w:r>
            <w:r>
              <w:rPr>
                <w:rFonts w:hint="eastAsia" w:cs="仿宋" w:asciiTheme="minorEastAsia" w:hAnsiTheme="minorEastAsia" w:eastAsiaTheme="minorEastAsia"/>
                <w:b/>
                <w:color w:val="auto"/>
                <w:sz w:val="24"/>
                <w:szCs w:val="24"/>
                <w:highlight w:val="none"/>
              </w:rPr>
              <w:t>万，物理分辨率≥</w:t>
            </w:r>
            <w:r>
              <w:rPr>
                <w:rFonts w:cs="仿宋" w:asciiTheme="minorEastAsia" w:hAnsiTheme="minorEastAsia" w:eastAsiaTheme="minorEastAsia"/>
                <w:b/>
                <w:color w:val="auto"/>
                <w:sz w:val="24"/>
                <w:szCs w:val="24"/>
                <w:highlight w:val="none"/>
              </w:rPr>
              <w:t>3200*2400</w:t>
            </w:r>
            <w:r>
              <w:rPr>
                <w:rFonts w:hint="eastAsia" w:cs="仿宋" w:asciiTheme="minorEastAsia" w:hAnsiTheme="minorEastAsia" w:eastAsiaTheme="minorEastAsia"/>
                <w:b/>
                <w:color w:val="auto"/>
                <w:sz w:val="24"/>
                <w:szCs w:val="24"/>
                <w:highlight w:val="none"/>
              </w:rPr>
              <w:t>）；辅摄像头：像素≥</w:t>
            </w:r>
            <w:r>
              <w:rPr>
                <w:rFonts w:cs="仿宋" w:asciiTheme="minorEastAsia" w:hAnsiTheme="minorEastAsia" w:eastAsiaTheme="minorEastAsia"/>
                <w:b/>
                <w:color w:val="auto"/>
                <w:sz w:val="24"/>
                <w:szCs w:val="24"/>
                <w:highlight w:val="none"/>
              </w:rPr>
              <w:t>200</w:t>
            </w:r>
            <w:r>
              <w:rPr>
                <w:rFonts w:hint="eastAsia" w:cs="仿宋" w:asciiTheme="minorEastAsia" w:hAnsiTheme="minorEastAsia" w:eastAsiaTheme="minorEastAsia"/>
                <w:b/>
                <w:color w:val="auto"/>
                <w:sz w:val="24"/>
                <w:szCs w:val="24"/>
                <w:highlight w:val="none"/>
              </w:rPr>
              <w:t>万（分辨率≥</w:t>
            </w:r>
            <w:r>
              <w:rPr>
                <w:rFonts w:cs="仿宋" w:asciiTheme="minorEastAsia" w:hAnsiTheme="minorEastAsia" w:eastAsiaTheme="minorEastAsia"/>
                <w:b/>
                <w:color w:val="auto"/>
                <w:sz w:val="24"/>
                <w:szCs w:val="24"/>
                <w:highlight w:val="none"/>
              </w:rPr>
              <w:t>1600*1200</w:t>
            </w:r>
            <w:r>
              <w:rPr>
                <w:rFonts w:hint="eastAsia" w:cs="仿宋" w:asciiTheme="minorEastAsia" w:hAnsiTheme="minorEastAsia" w:eastAsiaTheme="minorEastAsia"/>
                <w:b/>
                <w:color w:val="auto"/>
                <w:sz w:val="24"/>
                <w:szCs w:val="24"/>
                <w:highlight w:val="none"/>
              </w:rPr>
              <w:t>）。</w:t>
            </w:r>
          </w:p>
        </w:tc>
      </w:tr>
      <w:tr w14:paraId="70B59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5AED91C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38</w:t>
            </w:r>
          </w:p>
        </w:tc>
        <w:tc>
          <w:tcPr>
            <w:tcW w:w="696" w:type="dxa"/>
            <w:tcBorders>
              <w:bottom w:val="single" w:color="auto" w:sz="4" w:space="0"/>
            </w:tcBorders>
            <w:vAlign w:val="center"/>
          </w:tcPr>
          <w:p w14:paraId="7A50F0FD">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296B83FB">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60C5D58F">
            <w:pPr>
              <w:spacing w:line="360" w:lineRule="auto"/>
              <w:rPr>
                <w:rFonts w:ascii="宋体" w:hAnsi="宋体" w:cs="宋体"/>
                <w:bCs/>
                <w:color w:val="auto"/>
                <w:sz w:val="24"/>
                <w:szCs w:val="24"/>
                <w:highlight w:val="none"/>
              </w:rPr>
            </w:pPr>
            <w:r>
              <w:rPr>
                <w:rFonts w:ascii="宋体" w:hAnsi="宋体" w:cs="宋体"/>
                <w:bCs/>
                <w:color w:val="auto"/>
                <w:sz w:val="24"/>
                <w:szCs w:val="24"/>
                <w:highlight w:val="none"/>
              </w:rPr>
              <w:t>品目号</w:t>
            </w:r>
            <w:r>
              <w:rPr>
                <w:rFonts w:hint="eastAsia" w:ascii="宋体" w:hAnsi="宋体" w:cs="宋体"/>
                <w:bCs/>
                <w:color w:val="auto"/>
                <w:sz w:val="24"/>
                <w:szCs w:val="24"/>
                <w:highlight w:val="none"/>
              </w:rPr>
              <w:t>1-4</w:t>
            </w:r>
            <w:r>
              <w:rPr>
                <w:rFonts w:cs="仿宋" w:asciiTheme="minorEastAsia" w:hAnsiTheme="minorEastAsia" w:eastAsiaTheme="minorEastAsia"/>
                <w:b/>
                <w:color w:val="auto"/>
                <w:sz w:val="24"/>
                <w:szCs w:val="24"/>
                <w:highlight w:val="none"/>
              </w:rPr>
              <w:t xml:space="preserve">*2 </w:t>
            </w:r>
            <w:r>
              <w:rPr>
                <w:rFonts w:hint="eastAsia" w:cs="仿宋" w:asciiTheme="minorEastAsia" w:hAnsiTheme="minorEastAsia" w:eastAsiaTheme="minorEastAsia"/>
                <w:b/>
                <w:color w:val="auto"/>
                <w:sz w:val="24"/>
                <w:szCs w:val="24"/>
                <w:highlight w:val="none"/>
              </w:rPr>
              <w:t>、机身和文稿台采用一插到位的设计方式，简便拆装工序，精准定位、稳固大方</w:t>
            </w:r>
            <w:r>
              <w:rPr>
                <w:rFonts w:cs="仿宋" w:asciiTheme="minorEastAsia" w:hAnsiTheme="minorEastAsia" w:eastAsiaTheme="minorEastAsia"/>
                <w:b/>
                <w:color w:val="auto"/>
                <w:sz w:val="24"/>
                <w:szCs w:val="24"/>
                <w:highlight w:val="none"/>
              </w:rPr>
              <w:t>.</w:t>
            </w:r>
            <w:r>
              <w:rPr>
                <w:rFonts w:hint="eastAsia" w:cs="仿宋" w:asciiTheme="minorEastAsia" w:hAnsiTheme="minorEastAsia" w:eastAsiaTheme="minorEastAsia"/>
                <w:b/>
                <w:color w:val="auto"/>
                <w:sz w:val="24"/>
                <w:szCs w:val="24"/>
                <w:highlight w:val="none"/>
              </w:rPr>
              <w:t>具备</w:t>
            </w:r>
            <w:r>
              <w:rPr>
                <w:rFonts w:cs="仿宋" w:asciiTheme="minorEastAsia" w:hAnsiTheme="minorEastAsia" w:eastAsiaTheme="minorEastAsia"/>
                <w:b/>
                <w:color w:val="auto"/>
                <w:sz w:val="24"/>
                <w:szCs w:val="24"/>
                <w:highlight w:val="none"/>
              </w:rPr>
              <w:t>OCR</w:t>
            </w:r>
            <w:r>
              <w:rPr>
                <w:rFonts w:hint="eastAsia" w:cs="仿宋" w:asciiTheme="minorEastAsia" w:hAnsiTheme="minorEastAsia" w:eastAsiaTheme="minorEastAsia"/>
                <w:b/>
                <w:color w:val="auto"/>
                <w:sz w:val="24"/>
                <w:szCs w:val="24"/>
                <w:highlight w:val="none"/>
              </w:rPr>
              <w:t>文字识别；可免费提供二次开发包。</w:t>
            </w:r>
          </w:p>
        </w:tc>
      </w:tr>
      <w:tr w14:paraId="5399B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vAlign w:val="center"/>
          </w:tcPr>
          <w:p w14:paraId="7655755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39</w:t>
            </w:r>
          </w:p>
        </w:tc>
        <w:tc>
          <w:tcPr>
            <w:tcW w:w="696" w:type="dxa"/>
            <w:tcBorders>
              <w:bottom w:val="single" w:color="auto" w:sz="4" w:space="0"/>
            </w:tcBorders>
            <w:vAlign w:val="center"/>
          </w:tcPr>
          <w:p w14:paraId="3DEA121B">
            <w:pPr>
              <w:spacing w:line="360" w:lineRule="auto"/>
              <w:jc w:val="center"/>
              <w:rPr>
                <w:rFonts w:ascii="宋体" w:hAnsi="宋体" w:cs="宋体"/>
                <w:color w:val="auto"/>
                <w:sz w:val="24"/>
                <w:szCs w:val="24"/>
                <w:highlight w:val="none"/>
              </w:rPr>
            </w:pPr>
          </w:p>
        </w:tc>
        <w:tc>
          <w:tcPr>
            <w:tcW w:w="1422" w:type="dxa"/>
            <w:tcBorders>
              <w:bottom w:val="single" w:color="auto" w:sz="4" w:space="0"/>
            </w:tcBorders>
            <w:vAlign w:val="center"/>
          </w:tcPr>
          <w:p w14:paraId="4104787C">
            <w:pPr>
              <w:spacing w:line="360" w:lineRule="auto"/>
              <w:jc w:val="center"/>
              <w:rPr>
                <w:rFonts w:ascii="宋体" w:hAnsi="宋体" w:cs="宋体"/>
                <w:color w:val="auto"/>
                <w:sz w:val="24"/>
                <w:szCs w:val="24"/>
                <w:highlight w:val="none"/>
              </w:rPr>
            </w:pPr>
          </w:p>
        </w:tc>
        <w:tc>
          <w:tcPr>
            <w:tcW w:w="5925" w:type="dxa"/>
            <w:tcBorders>
              <w:bottom w:val="single" w:color="auto" w:sz="4" w:space="0"/>
            </w:tcBorders>
            <w:vAlign w:val="center"/>
          </w:tcPr>
          <w:p w14:paraId="69EFB38C">
            <w:pPr>
              <w:spacing w:line="360" w:lineRule="auto"/>
              <w:rPr>
                <w:rFonts w:ascii="宋体" w:hAnsi="宋体" w:cs="宋体"/>
                <w:color w:val="auto"/>
                <w:sz w:val="24"/>
                <w:szCs w:val="24"/>
                <w:highlight w:val="none"/>
              </w:rPr>
            </w:pPr>
            <w:r>
              <w:rPr>
                <w:rFonts w:cs="仿宋" w:asciiTheme="minorEastAsia" w:hAnsiTheme="minorEastAsia" w:eastAsiaTheme="minorEastAsia"/>
                <w:b/>
                <w:color w:val="auto"/>
                <w:sz w:val="24"/>
                <w:szCs w:val="24"/>
                <w:highlight w:val="none"/>
              </w:rPr>
              <w:t>*5</w:t>
            </w:r>
            <w:r>
              <w:rPr>
                <w:rFonts w:hint="eastAsia" w:cs="仿宋" w:asciiTheme="minorEastAsia" w:hAnsiTheme="minorEastAsia" w:eastAsiaTheme="minorEastAsia"/>
                <w:b/>
                <w:color w:val="auto"/>
                <w:sz w:val="24"/>
                <w:szCs w:val="24"/>
                <w:highlight w:val="none"/>
              </w:rPr>
              <w:t>、主摄像头：像素≥</w:t>
            </w:r>
            <w:r>
              <w:rPr>
                <w:rFonts w:cs="仿宋" w:asciiTheme="minorEastAsia" w:hAnsiTheme="minorEastAsia" w:eastAsiaTheme="minorEastAsia"/>
                <w:b/>
                <w:color w:val="auto"/>
                <w:sz w:val="24"/>
                <w:szCs w:val="24"/>
                <w:highlight w:val="none"/>
              </w:rPr>
              <w:t>1200</w:t>
            </w:r>
            <w:r>
              <w:rPr>
                <w:rFonts w:hint="eastAsia" w:cs="仿宋" w:asciiTheme="minorEastAsia" w:hAnsiTheme="minorEastAsia" w:eastAsiaTheme="minorEastAsia"/>
                <w:b/>
                <w:color w:val="auto"/>
                <w:sz w:val="24"/>
                <w:szCs w:val="24"/>
                <w:highlight w:val="none"/>
              </w:rPr>
              <w:t>万像素，物理分辨率≥</w:t>
            </w:r>
            <w:r>
              <w:rPr>
                <w:rFonts w:cs="仿宋" w:asciiTheme="minorEastAsia" w:hAnsiTheme="minorEastAsia" w:eastAsiaTheme="minorEastAsia"/>
                <w:b/>
                <w:color w:val="auto"/>
                <w:sz w:val="24"/>
                <w:szCs w:val="24"/>
                <w:highlight w:val="none"/>
              </w:rPr>
              <w:t>3600*2700</w:t>
            </w:r>
            <w:r>
              <w:rPr>
                <w:rFonts w:hint="eastAsia" w:cs="仿宋" w:asciiTheme="minorEastAsia" w:hAnsiTheme="minorEastAsia" w:eastAsiaTheme="minorEastAsia"/>
                <w:b/>
                <w:color w:val="auto"/>
                <w:sz w:val="24"/>
                <w:szCs w:val="24"/>
                <w:highlight w:val="none"/>
              </w:rPr>
              <w:t>）；辅摄像头：像素≥</w:t>
            </w:r>
            <w:r>
              <w:rPr>
                <w:rFonts w:cs="仿宋" w:asciiTheme="minorEastAsia" w:hAnsiTheme="minorEastAsia" w:eastAsiaTheme="minorEastAsia"/>
                <w:b/>
                <w:color w:val="auto"/>
                <w:sz w:val="24"/>
                <w:szCs w:val="24"/>
                <w:highlight w:val="none"/>
              </w:rPr>
              <w:t>200</w:t>
            </w:r>
            <w:r>
              <w:rPr>
                <w:rFonts w:hint="eastAsia" w:cs="仿宋" w:asciiTheme="minorEastAsia" w:hAnsiTheme="minorEastAsia" w:eastAsiaTheme="minorEastAsia"/>
                <w:b/>
                <w:color w:val="auto"/>
                <w:sz w:val="24"/>
                <w:szCs w:val="24"/>
                <w:highlight w:val="none"/>
              </w:rPr>
              <w:t>万（分辨率≥</w:t>
            </w:r>
            <w:r>
              <w:rPr>
                <w:rFonts w:cs="仿宋" w:asciiTheme="minorEastAsia" w:hAnsiTheme="minorEastAsia" w:eastAsiaTheme="minorEastAsia"/>
                <w:b/>
                <w:color w:val="auto"/>
                <w:sz w:val="24"/>
                <w:szCs w:val="24"/>
                <w:highlight w:val="none"/>
              </w:rPr>
              <w:t>1600*1200</w:t>
            </w:r>
            <w:r>
              <w:rPr>
                <w:rFonts w:hint="eastAsia" w:cs="仿宋" w:asciiTheme="minorEastAsia" w:hAnsiTheme="minorEastAsia" w:eastAsiaTheme="minorEastAsia"/>
                <w:b/>
                <w:color w:val="auto"/>
                <w:sz w:val="24"/>
                <w:szCs w:val="24"/>
                <w:highlight w:val="none"/>
              </w:rPr>
              <w:t>）。</w:t>
            </w:r>
          </w:p>
        </w:tc>
      </w:tr>
      <w:tr w14:paraId="14B9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1581395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40</w:t>
            </w:r>
          </w:p>
        </w:tc>
        <w:tc>
          <w:tcPr>
            <w:tcW w:w="696" w:type="dxa"/>
          </w:tcPr>
          <w:p w14:paraId="0654EFBE">
            <w:pPr>
              <w:spacing w:line="360" w:lineRule="auto"/>
              <w:jc w:val="center"/>
              <w:rPr>
                <w:rFonts w:ascii="宋体" w:hAnsi="宋体" w:cs="宋体"/>
                <w:color w:val="auto"/>
                <w:sz w:val="24"/>
                <w:szCs w:val="24"/>
                <w:highlight w:val="none"/>
              </w:rPr>
            </w:pPr>
          </w:p>
        </w:tc>
        <w:tc>
          <w:tcPr>
            <w:tcW w:w="1422" w:type="dxa"/>
          </w:tcPr>
          <w:p w14:paraId="034CC085">
            <w:pPr>
              <w:spacing w:line="360" w:lineRule="auto"/>
              <w:jc w:val="center"/>
              <w:rPr>
                <w:rFonts w:ascii="宋体" w:hAnsi="宋体" w:cs="宋体"/>
                <w:color w:val="auto"/>
                <w:sz w:val="24"/>
                <w:szCs w:val="24"/>
                <w:highlight w:val="none"/>
              </w:rPr>
            </w:pPr>
          </w:p>
        </w:tc>
        <w:tc>
          <w:tcPr>
            <w:tcW w:w="5925" w:type="dxa"/>
          </w:tcPr>
          <w:p w14:paraId="1B06CAFF">
            <w:pPr>
              <w:spacing w:line="360" w:lineRule="auto"/>
              <w:rPr>
                <w:rFonts w:ascii="宋体" w:hAnsi="宋体" w:cs="宋体"/>
                <w:bCs/>
                <w:color w:val="auto"/>
                <w:sz w:val="24"/>
                <w:szCs w:val="24"/>
                <w:highlight w:val="none"/>
              </w:rPr>
            </w:pPr>
            <w:r>
              <w:rPr>
                <w:rFonts w:cs="仿宋" w:asciiTheme="minorEastAsia" w:hAnsiTheme="minorEastAsia" w:eastAsiaTheme="minorEastAsia"/>
                <w:b/>
                <w:color w:val="auto"/>
                <w:sz w:val="24"/>
                <w:szCs w:val="24"/>
                <w:highlight w:val="none"/>
              </w:rPr>
              <w:t>*8</w:t>
            </w:r>
            <w:r>
              <w:rPr>
                <w:rFonts w:hint="eastAsia" w:cs="仿宋" w:asciiTheme="minorEastAsia" w:hAnsiTheme="minorEastAsia" w:eastAsiaTheme="minorEastAsia"/>
                <w:b/>
                <w:color w:val="auto"/>
                <w:sz w:val="24"/>
                <w:szCs w:val="24"/>
                <w:highlight w:val="none"/>
              </w:rPr>
              <w:t>、内置二代身份证阅读器。</w:t>
            </w:r>
          </w:p>
        </w:tc>
      </w:tr>
      <w:tr w14:paraId="7015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3A7BB6B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41</w:t>
            </w:r>
          </w:p>
        </w:tc>
        <w:tc>
          <w:tcPr>
            <w:tcW w:w="696" w:type="dxa"/>
          </w:tcPr>
          <w:p w14:paraId="3BCAAE48">
            <w:pPr>
              <w:spacing w:line="360" w:lineRule="auto"/>
              <w:jc w:val="center"/>
              <w:rPr>
                <w:rFonts w:ascii="宋体" w:hAnsi="宋体" w:cs="宋体"/>
                <w:color w:val="auto"/>
                <w:sz w:val="24"/>
                <w:szCs w:val="24"/>
                <w:highlight w:val="none"/>
              </w:rPr>
            </w:pPr>
          </w:p>
        </w:tc>
        <w:tc>
          <w:tcPr>
            <w:tcW w:w="1422" w:type="dxa"/>
          </w:tcPr>
          <w:p w14:paraId="53BC395B">
            <w:pPr>
              <w:spacing w:line="360" w:lineRule="auto"/>
              <w:jc w:val="center"/>
              <w:rPr>
                <w:rFonts w:ascii="宋体" w:hAnsi="宋体" w:cs="宋体"/>
                <w:color w:val="auto"/>
                <w:sz w:val="24"/>
                <w:szCs w:val="24"/>
                <w:highlight w:val="none"/>
              </w:rPr>
            </w:pPr>
          </w:p>
        </w:tc>
        <w:tc>
          <w:tcPr>
            <w:tcW w:w="5925" w:type="dxa"/>
          </w:tcPr>
          <w:p w14:paraId="0DF4CD61">
            <w:pPr>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备注</w:t>
            </w:r>
            <w:r>
              <w:rPr>
                <w:rFonts w:hint="eastAsia" w:cs="仿宋" w:asciiTheme="minorEastAsia" w:hAnsiTheme="minorEastAsia" w:eastAsiaTheme="minorEastAsia"/>
                <w:b/>
                <w:color w:val="auto"/>
                <w:sz w:val="24"/>
                <w:szCs w:val="24"/>
                <w:highlight w:val="none"/>
              </w:rPr>
              <w:t>：</w:t>
            </w:r>
            <w:r>
              <w:rPr>
                <w:rFonts w:ascii="宋体" w:hAnsi="宋体"/>
                <w:b/>
                <w:color w:val="auto"/>
                <w:sz w:val="24"/>
                <w:szCs w:val="24"/>
                <w:highlight w:val="none"/>
              </w:rPr>
              <w:t>*1</w:t>
            </w:r>
            <w:r>
              <w:rPr>
                <w:rFonts w:hint="eastAsia" w:ascii="宋体" w:hAnsi="宋体"/>
                <w:b/>
                <w:color w:val="auto"/>
                <w:sz w:val="24"/>
                <w:szCs w:val="24"/>
                <w:highlight w:val="none"/>
              </w:rPr>
              <w:t>、投标人须在投标文件中作出明确承诺：采购单位可调整各规格产品的实际供货数量；采购单位有权向厦门市政府机关事业单位和福建省内其他终端用户（下统称最终用户）进行供货。投标人须提供相应的安装及售后服务保障，所需费用已包含在投标总价中。投标人承诺合同期内采购单位可增加或者减少各型号的采购数量，仍按不高于中标价格执行。</w:t>
            </w:r>
          </w:p>
        </w:tc>
      </w:tr>
      <w:tr w14:paraId="11391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6A85581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42</w:t>
            </w:r>
          </w:p>
        </w:tc>
        <w:tc>
          <w:tcPr>
            <w:tcW w:w="696" w:type="dxa"/>
          </w:tcPr>
          <w:p w14:paraId="15109F52">
            <w:pPr>
              <w:spacing w:line="360" w:lineRule="auto"/>
              <w:jc w:val="center"/>
              <w:rPr>
                <w:rFonts w:ascii="宋体" w:hAnsi="宋体" w:cs="宋体"/>
                <w:color w:val="auto"/>
                <w:sz w:val="24"/>
                <w:szCs w:val="24"/>
                <w:highlight w:val="none"/>
              </w:rPr>
            </w:pPr>
          </w:p>
        </w:tc>
        <w:tc>
          <w:tcPr>
            <w:tcW w:w="1422" w:type="dxa"/>
          </w:tcPr>
          <w:p w14:paraId="3DC6A23F">
            <w:pPr>
              <w:spacing w:line="360" w:lineRule="auto"/>
              <w:jc w:val="center"/>
              <w:rPr>
                <w:rFonts w:ascii="宋体" w:hAnsi="宋体" w:cs="宋体"/>
                <w:color w:val="auto"/>
                <w:sz w:val="24"/>
                <w:szCs w:val="24"/>
                <w:highlight w:val="none"/>
              </w:rPr>
            </w:pPr>
          </w:p>
        </w:tc>
        <w:tc>
          <w:tcPr>
            <w:tcW w:w="5925" w:type="dxa"/>
          </w:tcPr>
          <w:p w14:paraId="0D62CC4A">
            <w:pPr>
              <w:spacing w:line="360" w:lineRule="auto"/>
              <w:rPr>
                <w:rFonts w:cs="仿宋" w:asciiTheme="minorEastAsia" w:hAnsiTheme="minorEastAsia" w:eastAsiaTheme="minorEastAsia"/>
                <w:b/>
                <w:color w:val="auto"/>
                <w:sz w:val="24"/>
                <w:szCs w:val="24"/>
                <w:highlight w:val="none"/>
              </w:rPr>
            </w:pPr>
            <w:r>
              <w:rPr>
                <w:rFonts w:ascii="宋体" w:hAnsi="宋体"/>
                <w:b/>
                <w:color w:val="auto"/>
                <w:sz w:val="24"/>
                <w:szCs w:val="24"/>
                <w:highlight w:val="none"/>
              </w:rPr>
              <w:t>*2</w:t>
            </w:r>
            <w:r>
              <w:rPr>
                <w:rFonts w:hint="eastAsia" w:ascii="宋体" w:hAnsi="宋体"/>
                <w:b/>
                <w:color w:val="auto"/>
                <w:sz w:val="24"/>
                <w:szCs w:val="24"/>
                <w:highlight w:val="none"/>
              </w:rPr>
              <w:t>、本项目采购的设备按照销售对象及销售区域的不同而分别与采购单位签订合同，即签订一份适用于厦门市机关事业单位社会团体、一份适用于福建省内其他终端用户采购合同。两份合同的总数量和总金额为本次招标采购的总数量和总金额。</w:t>
            </w:r>
          </w:p>
        </w:tc>
      </w:tr>
      <w:tr w14:paraId="5769E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2F34ABB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43</w:t>
            </w:r>
          </w:p>
        </w:tc>
        <w:tc>
          <w:tcPr>
            <w:tcW w:w="696" w:type="dxa"/>
          </w:tcPr>
          <w:p w14:paraId="5B61FC0E">
            <w:pPr>
              <w:spacing w:line="360" w:lineRule="auto"/>
              <w:jc w:val="center"/>
              <w:rPr>
                <w:rFonts w:ascii="宋体" w:hAnsi="宋体" w:cs="宋体"/>
                <w:color w:val="auto"/>
                <w:sz w:val="24"/>
                <w:szCs w:val="24"/>
                <w:highlight w:val="none"/>
              </w:rPr>
            </w:pPr>
          </w:p>
        </w:tc>
        <w:tc>
          <w:tcPr>
            <w:tcW w:w="1422" w:type="dxa"/>
          </w:tcPr>
          <w:p w14:paraId="7E7FD8E2">
            <w:pPr>
              <w:spacing w:line="360" w:lineRule="auto"/>
              <w:jc w:val="center"/>
              <w:rPr>
                <w:rFonts w:ascii="宋体" w:hAnsi="宋体" w:cs="宋体"/>
                <w:color w:val="auto"/>
                <w:sz w:val="24"/>
                <w:szCs w:val="24"/>
                <w:highlight w:val="none"/>
              </w:rPr>
            </w:pPr>
          </w:p>
        </w:tc>
        <w:tc>
          <w:tcPr>
            <w:tcW w:w="5925" w:type="dxa"/>
          </w:tcPr>
          <w:p w14:paraId="2B4290C1">
            <w:pPr>
              <w:spacing w:line="360" w:lineRule="auto"/>
              <w:rPr>
                <w:rFonts w:cs="仿宋" w:asciiTheme="minorEastAsia" w:hAnsiTheme="minorEastAsia" w:eastAsiaTheme="minorEastAsia"/>
                <w:b/>
                <w:color w:val="auto"/>
                <w:sz w:val="24"/>
                <w:szCs w:val="24"/>
                <w:highlight w:val="none"/>
              </w:rPr>
            </w:pPr>
            <w:r>
              <w:rPr>
                <w:rFonts w:ascii="宋体" w:hAnsi="宋体"/>
                <w:b/>
                <w:color w:val="auto"/>
                <w:sz w:val="24"/>
                <w:szCs w:val="24"/>
                <w:highlight w:val="none"/>
              </w:rPr>
              <w:t>*3</w:t>
            </w:r>
            <w:r>
              <w:rPr>
                <w:rFonts w:hint="eastAsia" w:ascii="宋体" w:hAnsi="宋体"/>
                <w:b/>
                <w:color w:val="auto"/>
                <w:sz w:val="24"/>
                <w:szCs w:val="24"/>
                <w:highlight w:val="none"/>
              </w:rPr>
              <w:t>、采购周期：</w:t>
            </w:r>
            <w:r>
              <w:rPr>
                <w:rFonts w:hint="default" w:ascii="宋体" w:hAnsi="宋体"/>
                <w:b/>
                <w:color w:val="auto"/>
                <w:sz w:val="24"/>
                <w:szCs w:val="24"/>
                <w:highlight w:val="none"/>
              </w:rPr>
              <w:t>2</w:t>
            </w:r>
            <w:r>
              <w:rPr>
                <w:rFonts w:hint="eastAsia" w:ascii="宋体" w:hAnsi="宋体"/>
                <w:b/>
                <w:color w:val="auto"/>
                <w:sz w:val="24"/>
                <w:szCs w:val="24"/>
                <w:highlight w:val="none"/>
              </w:rPr>
              <w:t>年。</w:t>
            </w:r>
          </w:p>
        </w:tc>
      </w:tr>
      <w:tr w14:paraId="1861F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022F4BB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44</w:t>
            </w:r>
          </w:p>
        </w:tc>
        <w:tc>
          <w:tcPr>
            <w:tcW w:w="696" w:type="dxa"/>
          </w:tcPr>
          <w:p w14:paraId="2FAAEE30">
            <w:pPr>
              <w:spacing w:line="360" w:lineRule="auto"/>
              <w:jc w:val="center"/>
              <w:rPr>
                <w:rFonts w:ascii="宋体" w:hAnsi="宋体" w:cs="宋体"/>
                <w:color w:val="auto"/>
                <w:sz w:val="24"/>
                <w:szCs w:val="24"/>
                <w:highlight w:val="none"/>
              </w:rPr>
            </w:pPr>
          </w:p>
        </w:tc>
        <w:tc>
          <w:tcPr>
            <w:tcW w:w="1422" w:type="dxa"/>
          </w:tcPr>
          <w:p w14:paraId="37036F16">
            <w:pPr>
              <w:spacing w:line="360" w:lineRule="auto"/>
              <w:jc w:val="center"/>
              <w:rPr>
                <w:rFonts w:ascii="宋体" w:hAnsi="宋体" w:cs="宋体"/>
                <w:color w:val="auto"/>
                <w:sz w:val="24"/>
                <w:szCs w:val="24"/>
                <w:highlight w:val="none"/>
              </w:rPr>
            </w:pPr>
          </w:p>
        </w:tc>
        <w:tc>
          <w:tcPr>
            <w:tcW w:w="5925" w:type="dxa"/>
          </w:tcPr>
          <w:p w14:paraId="633CC2BB">
            <w:pPr>
              <w:spacing w:line="360" w:lineRule="auto"/>
              <w:rPr>
                <w:rFonts w:cs="仿宋" w:asciiTheme="minorEastAsia" w:hAnsiTheme="minorEastAsia" w:eastAsiaTheme="minorEastAsia"/>
                <w:b/>
                <w:color w:val="auto"/>
                <w:sz w:val="24"/>
                <w:szCs w:val="24"/>
                <w:highlight w:val="none"/>
              </w:rPr>
            </w:pPr>
            <w:r>
              <w:rPr>
                <w:rFonts w:ascii="宋体" w:hAnsi="宋体"/>
                <w:b/>
                <w:color w:val="auto"/>
                <w:sz w:val="24"/>
                <w:szCs w:val="24"/>
                <w:highlight w:val="none"/>
              </w:rPr>
              <w:t>*4</w:t>
            </w:r>
            <w:r>
              <w:rPr>
                <w:rFonts w:hint="eastAsia" w:ascii="宋体" w:hAnsi="宋体"/>
                <w:b/>
                <w:color w:val="auto"/>
                <w:sz w:val="24"/>
                <w:szCs w:val="24"/>
                <w:highlight w:val="none"/>
              </w:rPr>
              <w:t>、投标人投标的品目号</w:t>
            </w:r>
            <w:r>
              <w:rPr>
                <w:rFonts w:ascii="宋体" w:hAnsi="宋体"/>
                <w:b/>
                <w:color w:val="auto"/>
                <w:sz w:val="24"/>
                <w:szCs w:val="24"/>
                <w:highlight w:val="none"/>
              </w:rPr>
              <w:t>1-1</w:t>
            </w:r>
            <w:r>
              <w:rPr>
                <w:rFonts w:hint="eastAsia" w:ascii="宋体" w:hAnsi="宋体"/>
                <w:b/>
                <w:color w:val="auto"/>
                <w:sz w:val="24"/>
                <w:szCs w:val="24"/>
                <w:highlight w:val="none"/>
              </w:rPr>
              <w:t>为同一品牌，品目号</w:t>
            </w:r>
            <w:r>
              <w:rPr>
                <w:rFonts w:ascii="宋体" w:hAnsi="宋体"/>
                <w:b/>
                <w:color w:val="auto"/>
                <w:sz w:val="24"/>
                <w:szCs w:val="24"/>
                <w:highlight w:val="none"/>
              </w:rPr>
              <w:t>1-2</w:t>
            </w:r>
            <w:r>
              <w:rPr>
                <w:rFonts w:hint="eastAsia" w:ascii="宋体" w:hAnsi="宋体"/>
                <w:b/>
                <w:color w:val="auto"/>
                <w:sz w:val="24"/>
                <w:szCs w:val="24"/>
                <w:highlight w:val="none"/>
              </w:rPr>
              <w:t>至</w:t>
            </w:r>
            <w:r>
              <w:rPr>
                <w:rFonts w:ascii="宋体" w:hAnsi="宋体"/>
                <w:b/>
                <w:color w:val="auto"/>
                <w:sz w:val="24"/>
                <w:szCs w:val="24"/>
                <w:highlight w:val="none"/>
              </w:rPr>
              <w:t>1-4</w:t>
            </w:r>
            <w:r>
              <w:rPr>
                <w:rFonts w:hint="eastAsia" w:ascii="宋体" w:hAnsi="宋体"/>
                <w:b/>
                <w:color w:val="auto"/>
                <w:sz w:val="24"/>
                <w:szCs w:val="24"/>
                <w:highlight w:val="none"/>
              </w:rPr>
              <w:t>高拍仪产品必须为同一品牌产品，否则将导致投标无效。</w:t>
            </w:r>
          </w:p>
        </w:tc>
      </w:tr>
      <w:tr w14:paraId="5556E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3B30898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45</w:t>
            </w:r>
          </w:p>
        </w:tc>
        <w:tc>
          <w:tcPr>
            <w:tcW w:w="696" w:type="dxa"/>
          </w:tcPr>
          <w:p w14:paraId="36AC74CA">
            <w:pPr>
              <w:spacing w:line="360" w:lineRule="auto"/>
              <w:jc w:val="center"/>
              <w:rPr>
                <w:rFonts w:ascii="宋体" w:hAnsi="宋体" w:cs="宋体"/>
                <w:color w:val="auto"/>
                <w:sz w:val="24"/>
                <w:szCs w:val="24"/>
                <w:highlight w:val="none"/>
              </w:rPr>
            </w:pPr>
          </w:p>
        </w:tc>
        <w:tc>
          <w:tcPr>
            <w:tcW w:w="1422" w:type="dxa"/>
          </w:tcPr>
          <w:p w14:paraId="60E8DE4B">
            <w:pPr>
              <w:spacing w:line="360" w:lineRule="auto"/>
              <w:jc w:val="center"/>
              <w:rPr>
                <w:rFonts w:ascii="宋体" w:hAnsi="宋体" w:cs="宋体"/>
                <w:color w:val="auto"/>
                <w:sz w:val="24"/>
                <w:szCs w:val="24"/>
                <w:highlight w:val="none"/>
              </w:rPr>
            </w:pPr>
          </w:p>
        </w:tc>
        <w:tc>
          <w:tcPr>
            <w:tcW w:w="5925" w:type="dxa"/>
          </w:tcPr>
          <w:p w14:paraId="25C6B3EA">
            <w:pPr>
              <w:spacing w:line="360" w:lineRule="auto"/>
              <w:rPr>
                <w:rFonts w:cs="仿宋" w:asciiTheme="minorEastAsia" w:hAnsiTheme="minorEastAsia" w:eastAsiaTheme="minorEastAsia"/>
                <w:b/>
                <w:color w:val="auto"/>
                <w:sz w:val="24"/>
                <w:szCs w:val="24"/>
                <w:highlight w:val="none"/>
              </w:rPr>
            </w:pPr>
            <w:r>
              <w:rPr>
                <w:rFonts w:ascii="宋体" w:hAnsi="宋体"/>
                <w:b/>
                <w:color w:val="auto"/>
                <w:sz w:val="24"/>
                <w:szCs w:val="24"/>
                <w:highlight w:val="none"/>
              </w:rPr>
              <w:t>*5、投标人所投的</w:t>
            </w:r>
            <w:r>
              <w:rPr>
                <w:rFonts w:hint="eastAsia" w:ascii="宋体" w:hAnsi="宋体"/>
                <w:b/>
                <w:color w:val="auto"/>
                <w:sz w:val="24"/>
                <w:szCs w:val="24"/>
                <w:highlight w:val="none"/>
              </w:rPr>
              <w:t>高拍仪（品目号</w:t>
            </w:r>
            <w:r>
              <w:rPr>
                <w:rFonts w:ascii="宋体" w:hAnsi="宋体"/>
                <w:b/>
                <w:color w:val="auto"/>
                <w:sz w:val="24"/>
                <w:szCs w:val="24"/>
                <w:highlight w:val="none"/>
              </w:rPr>
              <w:t>1-1至1-4）全部产品必须适配符合安全可靠测评要求的计算机平台及符合安全可靠测评要求的操作系统。</w:t>
            </w:r>
          </w:p>
        </w:tc>
      </w:tr>
      <w:tr w14:paraId="5AB54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71A33EA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46</w:t>
            </w:r>
          </w:p>
        </w:tc>
        <w:tc>
          <w:tcPr>
            <w:tcW w:w="696" w:type="dxa"/>
          </w:tcPr>
          <w:p w14:paraId="2DAE2DB3">
            <w:pPr>
              <w:spacing w:line="360" w:lineRule="auto"/>
              <w:jc w:val="center"/>
              <w:rPr>
                <w:rFonts w:ascii="宋体" w:hAnsi="宋体" w:cs="宋体"/>
                <w:color w:val="auto"/>
                <w:sz w:val="24"/>
                <w:szCs w:val="24"/>
                <w:highlight w:val="none"/>
              </w:rPr>
            </w:pPr>
          </w:p>
        </w:tc>
        <w:tc>
          <w:tcPr>
            <w:tcW w:w="1422" w:type="dxa"/>
          </w:tcPr>
          <w:p w14:paraId="0BA23BEE">
            <w:pPr>
              <w:spacing w:line="360" w:lineRule="auto"/>
              <w:jc w:val="center"/>
              <w:rPr>
                <w:rFonts w:ascii="宋体" w:hAnsi="宋体" w:cs="宋体"/>
                <w:color w:val="auto"/>
                <w:sz w:val="24"/>
                <w:szCs w:val="24"/>
                <w:highlight w:val="none"/>
              </w:rPr>
            </w:pPr>
          </w:p>
        </w:tc>
        <w:tc>
          <w:tcPr>
            <w:tcW w:w="5925" w:type="dxa"/>
          </w:tcPr>
          <w:p w14:paraId="1EF1C784">
            <w:pPr>
              <w:spacing w:line="360" w:lineRule="auto"/>
              <w:ind w:left="0" w:leftChars="0"/>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三</w:t>
            </w:r>
            <w:r>
              <w:rPr>
                <w:rFonts w:hint="eastAsia" w:cs="仿宋" w:asciiTheme="minorEastAsia" w:hAnsiTheme="minorEastAsia" w:eastAsiaTheme="minorEastAsia"/>
                <w:b/>
                <w:color w:val="auto"/>
                <w:sz w:val="24"/>
                <w:szCs w:val="24"/>
                <w:highlight w:val="none"/>
              </w:rPr>
              <w:t>、</w:t>
            </w:r>
            <w:r>
              <w:rPr>
                <w:rFonts w:ascii="宋体" w:hAnsi="宋体"/>
                <w:b/>
                <w:color w:val="auto"/>
                <w:sz w:val="24"/>
                <w:szCs w:val="24"/>
                <w:highlight w:val="none"/>
              </w:rPr>
              <w:t>*1、投标人所投标设备应符合国家强制性产品认证标准的要求</w:t>
            </w:r>
            <w:r>
              <w:rPr>
                <w:rFonts w:hint="eastAsia" w:ascii="宋体" w:hAnsi="宋体"/>
                <w:b/>
                <w:color w:val="auto"/>
                <w:sz w:val="24"/>
                <w:szCs w:val="24"/>
                <w:highlight w:val="none"/>
              </w:rPr>
              <w:t>。投标人需提供3C认证</w:t>
            </w:r>
            <w:r>
              <w:rPr>
                <w:rFonts w:hint="default" w:ascii="宋体" w:hAnsi="宋体"/>
                <w:b/>
                <w:color w:val="auto"/>
                <w:sz w:val="24"/>
                <w:szCs w:val="24"/>
                <w:highlight w:val="none"/>
              </w:rPr>
              <w:t>证书</w:t>
            </w:r>
            <w:r>
              <w:rPr>
                <w:rFonts w:hint="eastAsia" w:ascii="宋体" w:hAnsi="宋体"/>
                <w:b/>
                <w:color w:val="auto"/>
                <w:sz w:val="24"/>
                <w:szCs w:val="24"/>
                <w:highlight w:val="none"/>
              </w:rPr>
              <w:t>或</w:t>
            </w:r>
            <w:r>
              <w:rPr>
                <w:rFonts w:hint="eastAsia" w:ascii="宋体" w:hAnsi="宋体"/>
                <w:b/>
                <w:bCs w:val="0"/>
                <w:color w:val="auto"/>
                <w:sz w:val="24"/>
                <w:szCs w:val="24"/>
                <w:highlight w:val="none"/>
                <w:shd w:val="clear" w:color="auto" w:fill="auto"/>
              </w:rPr>
              <w:t>强制性认证产品符合性自我声明复印件。</w:t>
            </w:r>
          </w:p>
        </w:tc>
      </w:tr>
      <w:tr w14:paraId="55D0A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496EBAF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47</w:t>
            </w:r>
          </w:p>
        </w:tc>
        <w:tc>
          <w:tcPr>
            <w:tcW w:w="696" w:type="dxa"/>
          </w:tcPr>
          <w:p w14:paraId="2AC294EA">
            <w:pPr>
              <w:spacing w:line="360" w:lineRule="auto"/>
              <w:jc w:val="center"/>
              <w:rPr>
                <w:rFonts w:ascii="宋体" w:hAnsi="宋体" w:cs="宋体"/>
                <w:color w:val="auto"/>
                <w:sz w:val="24"/>
                <w:szCs w:val="24"/>
                <w:highlight w:val="none"/>
              </w:rPr>
            </w:pPr>
          </w:p>
        </w:tc>
        <w:tc>
          <w:tcPr>
            <w:tcW w:w="1422" w:type="dxa"/>
          </w:tcPr>
          <w:p w14:paraId="3E8FFA2D">
            <w:pPr>
              <w:spacing w:line="360" w:lineRule="auto"/>
              <w:jc w:val="center"/>
              <w:rPr>
                <w:rFonts w:ascii="宋体" w:hAnsi="宋体" w:cs="宋体"/>
                <w:color w:val="auto"/>
                <w:sz w:val="24"/>
                <w:szCs w:val="24"/>
                <w:highlight w:val="none"/>
              </w:rPr>
            </w:pPr>
          </w:p>
        </w:tc>
        <w:tc>
          <w:tcPr>
            <w:tcW w:w="5925" w:type="dxa"/>
          </w:tcPr>
          <w:p w14:paraId="49CFE515">
            <w:pPr>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五</w:t>
            </w:r>
            <w:r>
              <w:rPr>
                <w:rFonts w:hint="eastAsia" w:cs="仿宋"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*1、投标人承诺设备</w:t>
            </w:r>
            <w:r>
              <w:rPr>
                <w:rFonts w:hint="eastAsia" w:asciiTheme="minorEastAsia" w:hAnsiTheme="minorEastAsia" w:eastAsiaTheme="minorEastAsia"/>
                <w:b/>
                <w:color w:val="auto"/>
                <w:sz w:val="24"/>
                <w:szCs w:val="24"/>
                <w:highlight w:val="none"/>
              </w:rPr>
              <w:t>自最终验收合格之日起至少三年免费上门保修，且不得低于品牌官网的保修年限及标准。</w:t>
            </w:r>
          </w:p>
        </w:tc>
      </w:tr>
      <w:tr w14:paraId="06E66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011D04F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48</w:t>
            </w:r>
          </w:p>
        </w:tc>
        <w:tc>
          <w:tcPr>
            <w:tcW w:w="696" w:type="dxa"/>
          </w:tcPr>
          <w:p w14:paraId="0B544407">
            <w:pPr>
              <w:spacing w:line="360" w:lineRule="auto"/>
              <w:jc w:val="center"/>
              <w:rPr>
                <w:rFonts w:ascii="宋体" w:hAnsi="宋体" w:cs="宋体"/>
                <w:color w:val="auto"/>
                <w:sz w:val="24"/>
                <w:szCs w:val="24"/>
                <w:highlight w:val="none"/>
              </w:rPr>
            </w:pPr>
          </w:p>
        </w:tc>
        <w:tc>
          <w:tcPr>
            <w:tcW w:w="1422" w:type="dxa"/>
          </w:tcPr>
          <w:p w14:paraId="5BE5BA8D">
            <w:pPr>
              <w:spacing w:line="360" w:lineRule="auto"/>
              <w:jc w:val="center"/>
              <w:rPr>
                <w:rFonts w:ascii="宋体" w:hAnsi="宋体" w:cs="宋体"/>
                <w:color w:val="auto"/>
                <w:sz w:val="24"/>
                <w:szCs w:val="24"/>
                <w:highlight w:val="none"/>
              </w:rPr>
            </w:pPr>
          </w:p>
        </w:tc>
        <w:tc>
          <w:tcPr>
            <w:tcW w:w="5925" w:type="dxa"/>
          </w:tcPr>
          <w:p w14:paraId="52A79277">
            <w:pPr>
              <w:spacing w:line="360" w:lineRule="auto"/>
              <w:rPr>
                <w:rFonts w:cs="仿宋"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*2、投标人应在投标文件中提供具体的售后服务承诺条款。</w:t>
            </w:r>
          </w:p>
        </w:tc>
      </w:tr>
      <w:tr w14:paraId="7DADD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1F23A1E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49</w:t>
            </w:r>
          </w:p>
        </w:tc>
        <w:tc>
          <w:tcPr>
            <w:tcW w:w="696" w:type="dxa"/>
          </w:tcPr>
          <w:p w14:paraId="61519B63">
            <w:pPr>
              <w:spacing w:line="360" w:lineRule="auto"/>
              <w:jc w:val="center"/>
              <w:rPr>
                <w:rFonts w:ascii="宋体" w:hAnsi="宋体" w:cs="宋体"/>
                <w:color w:val="auto"/>
                <w:sz w:val="24"/>
                <w:szCs w:val="24"/>
                <w:highlight w:val="none"/>
              </w:rPr>
            </w:pPr>
          </w:p>
        </w:tc>
        <w:tc>
          <w:tcPr>
            <w:tcW w:w="1422" w:type="dxa"/>
          </w:tcPr>
          <w:p w14:paraId="0F8FBFFC">
            <w:pPr>
              <w:spacing w:line="360" w:lineRule="auto"/>
              <w:jc w:val="center"/>
              <w:rPr>
                <w:rFonts w:ascii="宋体" w:hAnsi="宋体" w:cs="宋体"/>
                <w:color w:val="auto"/>
                <w:sz w:val="24"/>
                <w:szCs w:val="24"/>
                <w:highlight w:val="none"/>
              </w:rPr>
            </w:pPr>
          </w:p>
        </w:tc>
        <w:tc>
          <w:tcPr>
            <w:tcW w:w="5925" w:type="dxa"/>
          </w:tcPr>
          <w:p w14:paraId="74C7D524">
            <w:pPr>
              <w:spacing w:line="360" w:lineRule="auto"/>
              <w:rPr>
                <w:rFonts w:cs="仿宋"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*3、投标人承诺，一旦中标，在接到采购单位或最终用户的报修电话，应在0.5个工作小时内电话响应，4个工作小时内到达，到达后8个工作小时内修复；若在8个工作小时内无法修复的，中标供应商应先提供备用机</w:t>
            </w:r>
            <w:r>
              <w:rPr>
                <w:rFonts w:hint="eastAsia" w:asciiTheme="minorEastAsia" w:hAnsiTheme="minorEastAsia" w:eastAsiaTheme="minorEastAsia"/>
                <w:b/>
                <w:color w:val="auto"/>
                <w:sz w:val="24"/>
                <w:szCs w:val="24"/>
                <w:highlight w:val="none"/>
              </w:rPr>
              <w:t>供最终用户使用，直至设备修复；如中标供应商所提供的备用机与故障机的型号不同，则需免费提供耗材。如果中标供应商未在承诺的时间内将设备修复或者提供备用机的则中标供应商应按</w:t>
            </w:r>
            <w:r>
              <w:rPr>
                <w:rFonts w:asciiTheme="minorEastAsia" w:hAnsiTheme="minorEastAsia" w:eastAsiaTheme="minorEastAsia"/>
                <w:b/>
                <w:color w:val="auto"/>
                <w:sz w:val="24"/>
                <w:szCs w:val="24"/>
                <w:highlight w:val="none"/>
              </w:rPr>
              <w:t>200.00元/台/天向采购单位支付逾期违约金。</w:t>
            </w:r>
          </w:p>
        </w:tc>
      </w:tr>
      <w:tr w14:paraId="5045E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7B9F78F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50</w:t>
            </w:r>
          </w:p>
        </w:tc>
        <w:tc>
          <w:tcPr>
            <w:tcW w:w="696" w:type="dxa"/>
          </w:tcPr>
          <w:p w14:paraId="4AF06C62">
            <w:pPr>
              <w:spacing w:line="360" w:lineRule="auto"/>
              <w:jc w:val="center"/>
              <w:rPr>
                <w:rFonts w:ascii="宋体" w:hAnsi="宋体" w:cs="宋体"/>
                <w:color w:val="auto"/>
                <w:sz w:val="24"/>
                <w:szCs w:val="24"/>
                <w:highlight w:val="none"/>
              </w:rPr>
            </w:pPr>
          </w:p>
        </w:tc>
        <w:tc>
          <w:tcPr>
            <w:tcW w:w="1422" w:type="dxa"/>
          </w:tcPr>
          <w:p w14:paraId="01D5E997">
            <w:pPr>
              <w:spacing w:line="360" w:lineRule="auto"/>
              <w:jc w:val="center"/>
              <w:rPr>
                <w:rFonts w:ascii="宋体" w:hAnsi="宋体" w:cs="宋体"/>
                <w:color w:val="auto"/>
                <w:sz w:val="24"/>
                <w:szCs w:val="24"/>
                <w:highlight w:val="none"/>
              </w:rPr>
            </w:pPr>
          </w:p>
        </w:tc>
        <w:tc>
          <w:tcPr>
            <w:tcW w:w="5925" w:type="dxa"/>
          </w:tcPr>
          <w:p w14:paraId="1A73E2CF">
            <w:pPr>
              <w:spacing w:line="360" w:lineRule="auto"/>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*4、投标人承诺，如果中标，在履行合同期间出现如下任</w:t>
            </w:r>
            <w:r>
              <w:rPr>
                <w:rFonts w:hint="eastAsia" w:asciiTheme="minorEastAsia" w:hAnsiTheme="minorEastAsia" w:eastAsiaTheme="minorEastAsia"/>
                <w:b/>
                <w:color w:val="auto"/>
                <w:sz w:val="24"/>
                <w:szCs w:val="24"/>
                <w:highlight w:val="none"/>
              </w:rPr>
              <w:t>一情况的，采购单位有权单方面解除合同，中标供应商应支付相当于履约保证金金额的违约金。对中标供应商下述情况在厦门招投标网进行公示，并在三年内拒绝卖方进入大宗政府招标采购项目的投标报价。同时，改由大宗招标排名第二的供应商供货。</w:t>
            </w:r>
          </w:p>
          <w:p w14:paraId="58D735F8">
            <w:pPr>
              <w:spacing w:line="360" w:lineRule="auto"/>
              <w:ind w:firstLine="482" w:firstLineChars="200"/>
              <w:jc w:val="left"/>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1）违反法律法规、行业规范要求被有关部门查处的；</w:t>
            </w:r>
          </w:p>
          <w:p w14:paraId="1FBB1FC6">
            <w:pPr>
              <w:spacing w:line="360" w:lineRule="auto"/>
              <w:ind w:firstLine="482" w:firstLineChars="200"/>
              <w:jc w:val="left"/>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2）提供假冒伪劣产品的；</w:t>
            </w:r>
          </w:p>
          <w:p w14:paraId="60D66412">
            <w:pPr>
              <w:spacing w:line="360" w:lineRule="auto"/>
              <w:ind w:firstLine="482" w:firstLineChars="200"/>
              <w:jc w:val="left"/>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3）通过给回扣或变相给回扣的方式招揽业务的；</w:t>
            </w:r>
          </w:p>
          <w:p w14:paraId="2E5D7AAA">
            <w:pPr>
              <w:spacing w:line="360" w:lineRule="auto"/>
              <w:ind w:firstLine="482" w:firstLineChars="200"/>
              <w:jc w:val="left"/>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4）因产品质量或服务问题被有效投诉达三次以上的；</w:t>
            </w:r>
          </w:p>
          <w:p w14:paraId="08CB0EA9">
            <w:pPr>
              <w:spacing w:line="360" w:lineRule="auto"/>
              <w:ind w:firstLine="482" w:firstLineChars="200"/>
              <w:jc w:val="left"/>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5）向有关部门、采购单位、最终使用方提供虚假信息或资料等情况的；</w:t>
            </w:r>
          </w:p>
          <w:p w14:paraId="24E7AAEE">
            <w:pPr>
              <w:spacing w:line="360" w:lineRule="auto"/>
              <w:ind w:firstLine="482" w:firstLineChars="200"/>
              <w:jc w:val="left"/>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6）出现重大客诉（包含政府采购管理部门督办事件、新闻媒体公开报道、采购业主书面发函投诉等以及其他引起严重影响的事件），对采购单位造成严重影响；</w:t>
            </w:r>
          </w:p>
          <w:p w14:paraId="504D668E">
            <w:pPr>
              <w:pStyle w:val="2"/>
              <w:spacing w:line="360" w:lineRule="auto"/>
              <w:ind w:firstLine="241"/>
              <w:rPr>
                <w:rFonts w:cs="仿宋"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8"/>
                <w:highlight w:val="none"/>
              </w:rPr>
              <w:t>（</w:t>
            </w:r>
            <w:r>
              <w:rPr>
                <w:rFonts w:asciiTheme="minorEastAsia" w:hAnsiTheme="minorEastAsia" w:eastAsiaTheme="minorEastAsia"/>
                <w:b/>
                <w:color w:val="auto"/>
                <w:sz w:val="24"/>
                <w:szCs w:val="28"/>
                <w:highlight w:val="none"/>
              </w:rPr>
              <w:t>7）</w:t>
            </w:r>
            <w:r>
              <w:rPr>
                <w:rFonts w:hint="eastAsia" w:asciiTheme="minorEastAsia" w:hAnsiTheme="minorEastAsia" w:eastAsiaTheme="minorEastAsia"/>
                <w:b/>
                <w:color w:val="auto"/>
                <w:sz w:val="24"/>
                <w:szCs w:val="28"/>
                <w:highlight w:val="none"/>
              </w:rPr>
              <w:t>报修率超过</w:t>
            </w:r>
            <w:r>
              <w:rPr>
                <w:rFonts w:asciiTheme="minorEastAsia" w:hAnsiTheme="minorEastAsia" w:eastAsiaTheme="minorEastAsia"/>
                <w:b/>
                <w:color w:val="auto"/>
                <w:sz w:val="24"/>
                <w:szCs w:val="28"/>
                <w:highlight w:val="none"/>
              </w:rPr>
              <w:t>3%。</w:t>
            </w:r>
            <w:r>
              <w:rPr>
                <w:rFonts w:hint="eastAsia" w:asciiTheme="minorEastAsia" w:hAnsiTheme="minorEastAsia" w:eastAsiaTheme="minorEastAsia"/>
                <w:b/>
                <w:color w:val="auto"/>
                <w:sz w:val="24"/>
                <w:szCs w:val="28"/>
                <w:highlight w:val="none"/>
              </w:rPr>
              <w:t>报修率</w:t>
            </w:r>
            <w:r>
              <w:rPr>
                <w:rFonts w:asciiTheme="minorEastAsia" w:hAnsiTheme="minorEastAsia" w:eastAsiaTheme="minorEastAsia"/>
                <w:b/>
                <w:color w:val="auto"/>
                <w:sz w:val="24"/>
                <w:szCs w:val="28"/>
                <w:highlight w:val="none"/>
              </w:rPr>
              <w:t>=报修有效台数/已销售台数*100%。</w:t>
            </w:r>
            <w:r>
              <w:rPr>
                <w:rFonts w:hint="eastAsia" w:asciiTheme="minorEastAsia" w:hAnsiTheme="minorEastAsia" w:eastAsiaTheme="minorEastAsia"/>
                <w:b/>
                <w:color w:val="auto"/>
                <w:sz w:val="24"/>
                <w:szCs w:val="28"/>
                <w:highlight w:val="none"/>
              </w:rPr>
              <w:t>（已销售台数超过</w:t>
            </w:r>
            <w:r>
              <w:rPr>
                <w:rFonts w:asciiTheme="minorEastAsia" w:hAnsiTheme="minorEastAsia" w:eastAsiaTheme="minorEastAsia"/>
                <w:b/>
                <w:color w:val="auto"/>
                <w:sz w:val="24"/>
                <w:szCs w:val="28"/>
                <w:highlight w:val="none"/>
              </w:rPr>
              <w:t>100台之后开始计算报修率）。</w:t>
            </w:r>
          </w:p>
        </w:tc>
      </w:tr>
      <w:tr w14:paraId="6F33B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6660697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51</w:t>
            </w:r>
          </w:p>
        </w:tc>
        <w:tc>
          <w:tcPr>
            <w:tcW w:w="696" w:type="dxa"/>
          </w:tcPr>
          <w:p w14:paraId="78BB379B">
            <w:pPr>
              <w:spacing w:line="360" w:lineRule="auto"/>
              <w:jc w:val="center"/>
              <w:rPr>
                <w:rFonts w:ascii="宋体" w:hAnsi="宋体" w:cs="宋体"/>
                <w:color w:val="auto"/>
                <w:sz w:val="24"/>
                <w:szCs w:val="24"/>
                <w:highlight w:val="none"/>
              </w:rPr>
            </w:pPr>
          </w:p>
        </w:tc>
        <w:tc>
          <w:tcPr>
            <w:tcW w:w="1422" w:type="dxa"/>
          </w:tcPr>
          <w:p w14:paraId="301DF542">
            <w:pPr>
              <w:spacing w:line="360" w:lineRule="auto"/>
              <w:jc w:val="center"/>
              <w:rPr>
                <w:rFonts w:ascii="宋体" w:hAnsi="宋体" w:cs="宋体"/>
                <w:color w:val="auto"/>
                <w:sz w:val="24"/>
                <w:szCs w:val="24"/>
                <w:highlight w:val="none"/>
              </w:rPr>
            </w:pPr>
          </w:p>
        </w:tc>
        <w:tc>
          <w:tcPr>
            <w:tcW w:w="5925" w:type="dxa"/>
          </w:tcPr>
          <w:p w14:paraId="06C8013C">
            <w:pPr>
              <w:spacing w:line="360" w:lineRule="auto"/>
              <w:rPr>
                <w:rFonts w:cs="仿宋"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5、投标人承诺，如果中标，验收时（包括初验和最终验收），投标人必须派代表参加并确认验收结果，否则视为投标人对验收意见无异议。如该批次产品在最终验收时，出现开箱破损或者故障，无法进行最终验收的，投标人承诺无条件给予更换新机并保证最终验收的顺畅进行。若投标人不同意更换新机或者配合，采购单位有权直接于</w:t>
            </w:r>
            <w:r>
              <w:rPr>
                <w:rFonts w:hint="eastAsia" w:asciiTheme="minorEastAsia" w:hAnsiTheme="minorEastAsia" w:eastAsiaTheme="minorEastAsia"/>
                <w:b/>
                <w:color w:val="auto"/>
                <w:sz w:val="24"/>
                <w:szCs w:val="24"/>
                <w:highlight w:val="none"/>
              </w:rPr>
              <w:t>投标人的履约保证金中扣除该批次产品及安装的等额费用。该条款可能造成的成本费用包含在投标人的产品报价中。</w:t>
            </w:r>
          </w:p>
        </w:tc>
      </w:tr>
      <w:tr w14:paraId="55711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099193F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52</w:t>
            </w:r>
          </w:p>
        </w:tc>
        <w:tc>
          <w:tcPr>
            <w:tcW w:w="696" w:type="dxa"/>
          </w:tcPr>
          <w:p w14:paraId="10BCF8DD">
            <w:pPr>
              <w:spacing w:line="360" w:lineRule="auto"/>
              <w:jc w:val="center"/>
              <w:rPr>
                <w:rFonts w:ascii="宋体" w:hAnsi="宋体" w:cs="宋体"/>
                <w:color w:val="auto"/>
                <w:sz w:val="24"/>
                <w:szCs w:val="24"/>
                <w:highlight w:val="none"/>
              </w:rPr>
            </w:pPr>
          </w:p>
        </w:tc>
        <w:tc>
          <w:tcPr>
            <w:tcW w:w="1422" w:type="dxa"/>
          </w:tcPr>
          <w:p w14:paraId="4A307B40">
            <w:pPr>
              <w:spacing w:line="360" w:lineRule="auto"/>
              <w:jc w:val="center"/>
              <w:rPr>
                <w:rFonts w:ascii="宋体" w:hAnsi="宋体" w:cs="宋体"/>
                <w:color w:val="auto"/>
                <w:sz w:val="24"/>
                <w:szCs w:val="24"/>
                <w:highlight w:val="none"/>
              </w:rPr>
            </w:pPr>
          </w:p>
        </w:tc>
        <w:tc>
          <w:tcPr>
            <w:tcW w:w="5925" w:type="dxa"/>
          </w:tcPr>
          <w:p w14:paraId="49B50BD0">
            <w:pPr>
              <w:spacing w:line="360" w:lineRule="auto"/>
              <w:rPr>
                <w:rFonts w:cs="仿宋"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*6、投标人承诺，如果中标，因投标人产品给采购单位造成的客诉，若投标人在接到采购单位通知后3个日历日内无法解决客诉，采购单位有权自行解决客诉，并直接于投标人的履约保证金中扣除解决</w:t>
            </w:r>
            <w:r>
              <w:rPr>
                <w:rFonts w:hint="eastAsia" w:asciiTheme="minorEastAsia" w:hAnsiTheme="minorEastAsia" w:eastAsiaTheme="minorEastAsia"/>
                <w:b/>
                <w:color w:val="auto"/>
                <w:sz w:val="24"/>
                <w:szCs w:val="24"/>
                <w:highlight w:val="none"/>
              </w:rPr>
              <w:t>客诉所产生的费用。该条款可能造成的成本费用包含在投标人的产品报价中。</w:t>
            </w:r>
          </w:p>
        </w:tc>
      </w:tr>
      <w:tr w14:paraId="073B5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5F96681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53</w:t>
            </w:r>
          </w:p>
        </w:tc>
        <w:tc>
          <w:tcPr>
            <w:tcW w:w="696" w:type="dxa"/>
          </w:tcPr>
          <w:p w14:paraId="73A81FB2">
            <w:pPr>
              <w:spacing w:line="360" w:lineRule="auto"/>
              <w:jc w:val="center"/>
              <w:rPr>
                <w:rFonts w:ascii="宋体" w:hAnsi="宋体" w:cs="宋体"/>
                <w:color w:val="auto"/>
                <w:sz w:val="24"/>
                <w:szCs w:val="24"/>
                <w:highlight w:val="none"/>
              </w:rPr>
            </w:pPr>
          </w:p>
        </w:tc>
        <w:tc>
          <w:tcPr>
            <w:tcW w:w="1422" w:type="dxa"/>
          </w:tcPr>
          <w:p w14:paraId="3A65A628">
            <w:pPr>
              <w:spacing w:line="360" w:lineRule="auto"/>
              <w:jc w:val="center"/>
              <w:rPr>
                <w:rFonts w:ascii="宋体" w:hAnsi="宋体" w:cs="宋体"/>
                <w:color w:val="auto"/>
                <w:sz w:val="24"/>
                <w:szCs w:val="24"/>
                <w:highlight w:val="none"/>
              </w:rPr>
            </w:pPr>
          </w:p>
        </w:tc>
        <w:tc>
          <w:tcPr>
            <w:tcW w:w="5925" w:type="dxa"/>
          </w:tcPr>
          <w:p w14:paraId="399A9D8C">
            <w:pPr>
              <w:spacing w:line="360" w:lineRule="auto"/>
              <w:rPr>
                <w:rFonts w:cs="仿宋"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*7、</w:t>
            </w:r>
            <w:r>
              <w:rPr>
                <w:rFonts w:hint="eastAsia" w:asciiTheme="minorEastAsia" w:hAnsiTheme="minorEastAsia" w:eastAsiaTheme="minorEastAsia"/>
                <w:b/>
                <w:color w:val="auto"/>
                <w:sz w:val="24"/>
                <w:szCs w:val="24"/>
                <w:highlight w:val="none"/>
              </w:rPr>
              <w:t>高拍仪安装过程中或者保修期内及保修期外的维修维护过程中负责安装并检查牢固，如需要拆卸绿板时，绿板拆卸后需重新免费负责安装并检查牢固，否则导致高拍仪或者绿板脱落、掉落情况，每次卖方应向买方支付</w:t>
            </w:r>
            <w:r>
              <w:rPr>
                <w:rFonts w:asciiTheme="minorEastAsia" w:hAnsiTheme="minorEastAsia" w:eastAsiaTheme="minorEastAsia"/>
                <w:b/>
                <w:color w:val="auto"/>
                <w:sz w:val="24"/>
                <w:szCs w:val="24"/>
                <w:highlight w:val="none"/>
              </w:rPr>
              <w:t>10000元违约金；严重情况出现伤人时，每次卖方应向买方支付20000元违约金；造成对买方客户可能的赔偿均由卖方承担，此费用买方有权在与卖方未结算货款时或履约保证金中扣除相应费用。若违约金不</w:t>
            </w:r>
            <w:r>
              <w:rPr>
                <w:rFonts w:hint="eastAsia" w:asciiTheme="minorEastAsia" w:hAnsiTheme="minorEastAsia" w:eastAsiaTheme="minorEastAsia"/>
                <w:b/>
                <w:color w:val="auto"/>
                <w:sz w:val="24"/>
                <w:szCs w:val="24"/>
                <w:highlight w:val="none"/>
              </w:rPr>
              <w:t>足以拟补损失时，卖方有权利要求买方增加违约金，需按实际损失赔偿。</w:t>
            </w:r>
          </w:p>
        </w:tc>
      </w:tr>
      <w:tr w14:paraId="49952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32F68B4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54</w:t>
            </w:r>
          </w:p>
        </w:tc>
        <w:tc>
          <w:tcPr>
            <w:tcW w:w="696" w:type="dxa"/>
          </w:tcPr>
          <w:p w14:paraId="41F820C7">
            <w:pPr>
              <w:spacing w:line="360" w:lineRule="auto"/>
              <w:jc w:val="center"/>
              <w:rPr>
                <w:rFonts w:ascii="宋体" w:hAnsi="宋体" w:cs="宋体"/>
                <w:color w:val="auto"/>
                <w:sz w:val="24"/>
                <w:szCs w:val="24"/>
                <w:highlight w:val="none"/>
              </w:rPr>
            </w:pPr>
          </w:p>
        </w:tc>
        <w:tc>
          <w:tcPr>
            <w:tcW w:w="1422" w:type="dxa"/>
          </w:tcPr>
          <w:p w14:paraId="2F5CA3A4">
            <w:pPr>
              <w:spacing w:line="360" w:lineRule="auto"/>
              <w:jc w:val="center"/>
              <w:rPr>
                <w:rFonts w:ascii="宋体" w:hAnsi="宋体" w:cs="宋体"/>
                <w:color w:val="auto"/>
                <w:sz w:val="24"/>
                <w:szCs w:val="24"/>
                <w:highlight w:val="none"/>
              </w:rPr>
            </w:pPr>
          </w:p>
        </w:tc>
        <w:tc>
          <w:tcPr>
            <w:tcW w:w="5925" w:type="dxa"/>
          </w:tcPr>
          <w:p w14:paraId="04392DD2">
            <w:pPr>
              <w:spacing w:line="360" w:lineRule="auto"/>
              <w:rPr>
                <w:rFonts w:cs="仿宋" w:asciiTheme="minorEastAsia" w:hAnsiTheme="minorEastAsia" w:eastAsiaTheme="minorEastAsia"/>
                <w:b/>
                <w:color w:val="auto"/>
                <w:sz w:val="24"/>
                <w:szCs w:val="24"/>
                <w:highlight w:val="none"/>
              </w:rPr>
            </w:pPr>
            <w:r>
              <w:rPr>
                <w:rFonts w:hint="default" w:asciiTheme="minorEastAsia" w:hAnsiTheme="minorEastAsia" w:eastAsiaTheme="minorEastAsia"/>
                <w:b/>
                <w:color w:val="auto"/>
                <w:sz w:val="24"/>
                <w:szCs w:val="24"/>
                <w:highlight w:val="none"/>
              </w:rPr>
              <w:t>*8、为保证服务及时性，中标供应商在接到采购单位通知后24小时内未上门安装及提供维保服务，或经过采购单位监管服务未达到采购单位要求的，采购单位有权另行安排人员上门为最终用户提供安装及维保服务，导致采购单位选择自行为最终用户安装及提供维保服务所产生的费用由中标供应商承担，安装收费标准为80元/台，维保费用按照实际情况结算。中标供应商在安装完成后 30 个日历日内根据采购单位提供的货物验收单向采购单位支付安装费用，采购单位同步开具安装费发票。</w:t>
            </w:r>
          </w:p>
        </w:tc>
      </w:tr>
      <w:tr w14:paraId="4C0E3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41B51E22">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55</w:t>
            </w:r>
          </w:p>
        </w:tc>
        <w:tc>
          <w:tcPr>
            <w:tcW w:w="696" w:type="dxa"/>
          </w:tcPr>
          <w:p w14:paraId="0E3D9D56">
            <w:pPr>
              <w:spacing w:line="360" w:lineRule="auto"/>
              <w:jc w:val="center"/>
              <w:rPr>
                <w:rFonts w:ascii="宋体" w:hAnsi="宋体" w:cs="宋体"/>
                <w:color w:val="auto"/>
                <w:sz w:val="24"/>
                <w:szCs w:val="24"/>
                <w:highlight w:val="none"/>
              </w:rPr>
            </w:pPr>
          </w:p>
        </w:tc>
        <w:tc>
          <w:tcPr>
            <w:tcW w:w="1422" w:type="dxa"/>
          </w:tcPr>
          <w:p w14:paraId="0430301A">
            <w:pPr>
              <w:spacing w:line="360" w:lineRule="auto"/>
              <w:jc w:val="center"/>
              <w:rPr>
                <w:rFonts w:ascii="宋体" w:hAnsi="宋体" w:cs="宋体"/>
                <w:color w:val="auto"/>
                <w:sz w:val="24"/>
                <w:szCs w:val="24"/>
                <w:highlight w:val="none"/>
              </w:rPr>
            </w:pPr>
          </w:p>
        </w:tc>
        <w:tc>
          <w:tcPr>
            <w:tcW w:w="5925" w:type="dxa"/>
          </w:tcPr>
          <w:p w14:paraId="6D60541D">
            <w:pPr>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六</w:t>
            </w:r>
            <w:r>
              <w:rPr>
                <w:rFonts w:hint="eastAsia" w:cs="仿宋"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*1、投标人须以人民币报价，投标总价为投标设备</w:t>
            </w:r>
            <w:r>
              <w:rPr>
                <w:rFonts w:hint="eastAsia" w:asciiTheme="minorEastAsia" w:hAnsiTheme="minorEastAsia" w:eastAsiaTheme="minorEastAsia"/>
                <w:b/>
                <w:color w:val="auto"/>
                <w:sz w:val="24"/>
                <w:szCs w:val="24"/>
                <w:highlight w:val="none"/>
              </w:rPr>
              <w:t>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投标总价中），报价方式为总包价。</w:t>
            </w:r>
          </w:p>
        </w:tc>
      </w:tr>
      <w:tr w14:paraId="06D8D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384384F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56</w:t>
            </w:r>
          </w:p>
        </w:tc>
        <w:tc>
          <w:tcPr>
            <w:tcW w:w="696" w:type="dxa"/>
          </w:tcPr>
          <w:p w14:paraId="01B05016">
            <w:pPr>
              <w:spacing w:line="360" w:lineRule="auto"/>
              <w:jc w:val="center"/>
              <w:rPr>
                <w:rFonts w:ascii="宋体" w:hAnsi="宋体" w:cs="宋体"/>
                <w:color w:val="auto"/>
                <w:sz w:val="24"/>
                <w:szCs w:val="24"/>
                <w:highlight w:val="none"/>
              </w:rPr>
            </w:pPr>
          </w:p>
        </w:tc>
        <w:tc>
          <w:tcPr>
            <w:tcW w:w="1422" w:type="dxa"/>
          </w:tcPr>
          <w:p w14:paraId="1F7C4772">
            <w:pPr>
              <w:spacing w:line="360" w:lineRule="auto"/>
              <w:jc w:val="center"/>
              <w:rPr>
                <w:rFonts w:ascii="宋体" w:hAnsi="宋体" w:cs="宋体"/>
                <w:color w:val="auto"/>
                <w:sz w:val="24"/>
                <w:szCs w:val="24"/>
                <w:highlight w:val="none"/>
              </w:rPr>
            </w:pPr>
          </w:p>
        </w:tc>
        <w:tc>
          <w:tcPr>
            <w:tcW w:w="5925" w:type="dxa"/>
          </w:tcPr>
          <w:p w14:paraId="0671AA6D">
            <w:pPr>
              <w:spacing w:line="360" w:lineRule="auto"/>
              <w:rPr>
                <w:rFonts w:cs="仿宋"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*2、投标人必须列出招标货物一览表中</w:t>
            </w:r>
            <w:r>
              <w:rPr>
                <w:rFonts w:hint="eastAsia" w:asciiTheme="minorEastAsia" w:hAnsiTheme="minorEastAsia" w:eastAsiaTheme="minorEastAsia"/>
                <w:b/>
                <w:color w:val="auto"/>
                <w:sz w:val="24"/>
                <w:szCs w:val="24"/>
                <w:highlight w:val="none"/>
              </w:rPr>
              <w:t>各合同包及品目号设备的单价及总价。</w:t>
            </w:r>
          </w:p>
        </w:tc>
      </w:tr>
      <w:tr w14:paraId="4B549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59E2990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57</w:t>
            </w:r>
          </w:p>
        </w:tc>
        <w:tc>
          <w:tcPr>
            <w:tcW w:w="696" w:type="dxa"/>
          </w:tcPr>
          <w:p w14:paraId="5B5A7310">
            <w:pPr>
              <w:spacing w:line="360" w:lineRule="auto"/>
              <w:jc w:val="center"/>
              <w:rPr>
                <w:rFonts w:ascii="宋体" w:hAnsi="宋体" w:cs="宋体"/>
                <w:color w:val="auto"/>
                <w:sz w:val="24"/>
                <w:szCs w:val="24"/>
                <w:highlight w:val="none"/>
              </w:rPr>
            </w:pPr>
          </w:p>
        </w:tc>
        <w:tc>
          <w:tcPr>
            <w:tcW w:w="1422" w:type="dxa"/>
          </w:tcPr>
          <w:p w14:paraId="1B81E8B5">
            <w:pPr>
              <w:spacing w:line="360" w:lineRule="auto"/>
              <w:jc w:val="center"/>
              <w:rPr>
                <w:rFonts w:ascii="宋体" w:hAnsi="宋体" w:cs="宋体"/>
                <w:color w:val="auto"/>
                <w:sz w:val="24"/>
                <w:szCs w:val="24"/>
                <w:highlight w:val="none"/>
              </w:rPr>
            </w:pPr>
          </w:p>
        </w:tc>
        <w:tc>
          <w:tcPr>
            <w:tcW w:w="5925" w:type="dxa"/>
          </w:tcPr>
          <w:p w14:paraId="1EB963BA">
            <w:pPr>
              <w:spacing w:line="360" w:lineRule="auto"/>
              <w:rPr>
                <w:rFonts w:cs="仿宋"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*3、本项目</w:t>
            </w:r>
            <w:r>
              <w:rPr>
                <w:rFonts w:hint="eastAsia" w:asciiTheme="minorEastAsia" w:hAnsiTheme="minorEastAsia" w:eastAsiaTheme="minorEastAsia"/>
                <w:b/>
                <w:color w:val="auto"/>
                <w:sz w:val="24"/>
                <w:szCs w:val="24"/>
                <w:highlight w:val="none"/>
              </w:rPr>
              <w:t>采购预算为人民币</w:t>
            </w:r>
            <w:r>
              <w:rPr>
                <w:rFonts w:hint="default" w:asciiTheme="minorEastAsia" w:hAnsiTheme="minorEastAsia" w:eastAsiaTheme="minorEastAsia"/>
                <w:b/>
                <w:color w:val="auto"/>
                <w:sz w:val="24"/>
                <w:szCs w:val="24"/>
                <w:highlight w:val="none"/>
              </w:rPr>
              <w:t>412</w:t>
            </w:r>
            <w:r>
              <w:rPr>
                <w:rFonts w:asciiTheme="minorEastAsia" w:hAnsiTheme="minorEastAsia" w:eastAsiaTheme="minorEastAsia"/>
                <w:b/>
                <w:color w:val="auto"/>
                <w:sz w:val="24"/>
                <w:szCs w:val="24"/>
                <w:highlight w:val="none"/>
              </w:rPr>
              <w:t>.5万元整，投标总价不得超过该预算，品目号1-1单台设备投标报价不得超过650</w:t>
            </w:r>
            <w:r>
              <w:rPr>
                <w:rFonts w:hint="eastAsia" w:asciiTheme="minorEastAsia" w:hAnsiTheme="minorEastAsia" w:eastAsiaTheme="minorEastAsia"/>
                <w:b/>
                <w:color w:val="auto"/>
                <w:sz w:val="24"/>
                <w:szCs w:val="24"/>
                <w:highlight w:val="none"/>
              </w:rPr>
              <w:t>元</w:t>
            </w:r>
            <w:r>
              <w:rPr>
                <w:rFonts w:asciiTheme="minorEastAsia" w:hAnsiTheme="minorEastAsia" w:eastAsiaTheme="minorEastAsia"/>
                <w:b/>
                <w:color w:val="auto"/>
                <w:sz w:val="24"/>
                <w:szCs w:val="24"/>
                <w:highlight w:val="none"/>
              </w:rPr>
              <w:t>/台</w:t>
            </w:r>
            <w:r>
              <w:rPr>
                <w:rFonts w:hint="eastAsia" w:asciiTheme="minorEastAsia" w:hAnsiTheme="minorEastAsia" w:eastAsiaTheme="minorEastAsia"/>
                <w:b/>
                <w:color w:val="auto"/>
                <w:sz w:val="24"/>
                <w:szCs w:val="24"/>
                <w:highlight w:val="none"/>
              </w:rPr>
              <w:t>，品目号</w:t>
            </w:r>
            <w:r>
              <w:rPr>
                <w:rFonts w:asciiTheme="minorEastAsia" w:hAnsiTheme="minorEastAsia" w:eastAsiaTheme="minorEastAsia"/>
                <w:b/>
                <w:color w:val="auto"/>
                <w:sz w:val="24"/>
                <w:szCs w:val="24"/>
                <w:highlight w:val="none"/>
              </w:rPr>
              <w:t>1-2单台设备投标报价不得超过750元/台，品目号1-3</w:t>
            </w:r>
            <w:r>
              <w:rPr>
                <w:rFonts w:hint="eastAsia" w:asciiTheme="minorEastAsia" w:hAnsiTheme="minorEastAsia" w:eastAsiaTheme="minorEastAsia"/>
                <w:b/>
                <w:color w:val="auto"/>
                <w:sz w:val="24"/>
                <w:szCs w:val="24"/>
                <w:highlight w:val="none"/>
              </w:rPr>
              <w:t>单台设备投标报价不得超过</w:t>
            </w:r>
            <w:r>
              <w:rPr>
                <w:rFonts w:asciiTheme="minorEastAsia" w:hAnsiTheme="minorEastAsia" w:eastAsiaTheme="minorEastAsia"/>
                <w:b/>
                <w:color w:val="auto"/>
                <w:sz w:val="24"/>
                <w:szCs w:val="24"/>
                <w:highlight w:val="none"/>
              </w:rPr>
              <w:t>1000</w:t>
            </w:r>
            <w:r>
              <w:rPr>
                <w:rFonts w:hint="eastAsia" w:asciiTheme="minorEastAsia" w:hAnsiTheme="minorEastAsia" w:eastAsiaTheme="minorEastAsia"/>
                <w:b/>
                <w:color w:val="auto"/>
                <w:sz w:val="24"/>
                <w:szCs w:val="24"/>
                <w:highlight w:val="none"/>
              </w:rPr>
              <w:t>元</w:t>
            </w:r>
            <w:r>
              <w:rPr>
                <w:rFonts w:asciiTheme="minorEastAsia" w:hAnsiTheme="minorEastAsia" w:eastAsiaTheme="minorEastAsia"/>
                <w:b/>
                <w:color w:val="auto"/>
                <w:sz w:val="24"/>
                <w:szCs w:val="24"/>
                <w:highlight w:val="none"/>
              </w:rPr>
              <w:t>/台</w:t>
            </w:r>
            <w:r>
              <w:rPr>
                <w:rFonts w:hint="eastAsia" w:asciiTheme="minorEastAsia" w:hAnsiTheme="minorEastAsia" w:eastAsiaTheme="minorEastAsia"/>
                <w:b/>
                <w:color w:val="auto"/>
                <w:sz w:val="24"/>
                <w:szCs w:val="24"/>
                <w:highlight w:val="none"/>
              </w:rPr>
              <w:t>，品目号</w:t>
            </w:r>
            <w:r>
              <w:rPr>
                <w:rFonts w:asciiTheme="minorEastAsia" w:hAnsiTheme="minorEastAsia" w:eastAsiaTheme="minorEastAsia"/>
                <w:b/>
                <w:color w:val="auto"/>
                <w:sz w:val="24"/>
                <w:szCs w:val="24"/>
                <w:highlight w:val="none"/>
              </w:rPr>
              <w:t>1-4</w:t>
            </w:r>
            <w:r>
              <w:rPr>
                <w:rFonts w:hint="eastAsia" w:asciiTheme="minorEastAsia" w:hAnsiTheme="minorEastAsia" w:eastAsiaTheme="minorEastAsia"/>
                <w:b/>
                <w:color w:val="auto"/>
                <w:sz w:val="24"/>
                <w:szCs w:val="24"/>
                <w:highlight w:val="none"/>
              </w:rPr>
              <w:t>单台设备投标报价不得超过</w:t>
            </w:r>
            <w:r>
              <w:rPr>
                <w:rFonts w:asciiTheme="minorEastAsia" w:hAnsiTheme="minorEastAsia" w:eastAsiaTheme="minorEastAsia"/>
                <w:b/>
                <w:color w:val="auto"/>
                <w:sz w:val="24"/>
                <w:szCs w:val="24"/>
                <w:highlight w:val="none"/>
              </w:rPr>
              <w:t>1850元/台。</w:t>
            </w:r>
          </w:p>
        </w:tc>
      </w:tr>
      <w:tr w14:paraId="3BDAA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4BAEC3D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58</w:t>
            </w:r>
          </w:p>
        </w:tc>
        <w:tc>
          <w:tcPr>
            <w:tcW w:w="696" w:type="dxa"/>
          </w:tcPr>
          <w:p w14:paraId="6B6BE6B8">
            <w:pPr>
              <w:spacing w:line="360" w:lineRule="auto"/>
              <w:jc w:val="center"/>
              <w:rPr>
                <w:rFonts w:ascii="宋体" w:hAnsi="宋体" w:cs="宋体"/>
                <w:color w:val="auto"/>
                <w:sz w:val="24"/>
                <w:szCs w:val="24"/>
                <w:highlight w:val="none"/>
              </w:rPr>
            </w:pPr>
          </w:p>
        </w:tc>
        <w:tc>
          <w:tcPr>
            <w:tcW w:w="1422" w:type="dxa"/>
          </w:tcPr>
          <w:p w14:paraId="68D94AA0">
            <w:pPr>
              <w:spacing w:line="360" w:lineRule="auto"/>
              <w:jc w:val="center"/>
              <w:rPr>
                <w:rFonts w:ascii="宋体" w:hAnsi="宋体" w:cs="宋体"/>
                <w:color w:val="auto"/>
                <w:sz w:val="24"/>
                <w:szCs w:val="24"/>
                <w:highlight w:val="none"/>
              </w:rPr>
            </w:pPr>
          </w:p>
        </w:tc>
        <w:tc>
          <w:tcPr>
            <w:tcW w:w="5925" w:type="dxa"/>
          </w:tcPr>
          <w:p w14:paraId="0077891D">
            <w:pPr>
              <w:widowControl/>
              <w:spacing w:line="360" w:lineRule="auto"/>
              <w:ind w:firstLine="0" w:firstLineChars="0"/>
              <w:jc w:val="left"/>
              <w:rPr>
                <w:rFonts w:cs="宋体" w:asciiTheme="minorEastAsia" w:hAnsiTheme="minorEastAsia" w:eastAsiaTheme="minorEastAsia"/>
                <w:color w:val="auto"/>
                <w:sz w:val="24"/>
                <w:szCs w:val="24"/>
                <w:highlight w:val="none"/>
              </w:rPr>
            </w:pPr>
            <w:r>
              <w:rPr>
                <w:rFonts w:asciiTheme="minorEastAsia" w:hAnsiTheme="minorEastAsia" w:eastAsiaTheme="minorEastAsia"/>
                <w:b/>
                <w:color w:val="auto"/>
                <w:sz w:val="24"/>
                <w:szCs w:val="24"/>
                <w:highlight w:val="none"/>
              </w:rPr>
              <w:t>*4、除《定货单》另有要求外，中标供应商负责将货物配送至采购单位仓库集中仓储（福建省内的指定城市）；中标供应商除承担运送至采购单位仓库的费用，还应同时承担从采购单位仓库运送至最终用户的</w:t>
            </w:r>
            <w:r>
              <w:rPr>
                <w:rFonts w:hint="eastAsia" w:cs="宋体" w:asciiTheme="minorEastAsia" w:hAnsiTheme="minorEastAsia" w:eastAsiaTheme="minorEastAsia"/>
                <w:b/>
                <w:color w:val="auto"/>
                <w:sz w:val="24"/>
                <w:szCs w:val="24"/>
                <w:highlight w:val="none"/>
              </w:rPr>
              <w:t>二次仓储操作及配送费用</w:t>
            </w:r>
            <w:r>
              <w:rPr>
                <w:rFonts w:hint="eastAsia" w:asciiTheme="minorEastAsia" w:hAnsiTheme="minorEastAsia" w:eastAsiaTheme="minorEastAsia"/>
                <w:b/>
                <w:color w:val="auto"/>
                <w:sz w:val="24"/>
                <w:szCs w:val="24"/>
                <w:highlight w:val="none"/>
              </w:rPr>
              <w:t>。中标供应商在接到采购单位《定货单》之日起</w:t>
            </w:r>
            <w:r>
              <w:rPr>
                <w:rFonts w:hint="eastAsia" w:cs="宋体" w:asciiTheme="minorEastAsia" w:hAnsiTheme="minorEastAsia" w:eastAsiaTheme="minorEastAsia"/>
                <w:b/>
                <w:color w:val="auto"/>
                <w:sz w:val="24"/>
                <w:szCs w:val="24"/>
                <w:highlight w:val="none"/>
              </w:rPr>
              <w:t>最长不超过</w:t>
            </w:r>
            <w:r>
              <w:rPr>
                <w:rFonts w:cs="宋体" w:asciiTheme="minorEastAsia" w:hAnsiTheme="minorEastAsia" w:eastAsiaTheme="minorEastAsia"/>
                <w:b/>
                <w:color w:val="auto"/>
                <w:sz w:val="24"/>
                <w:szCs w:val="24"/>
                <w:highlight w:val="none"/>
              </w:rPr>
              <w:t>10个日历日</w:t>
            </w:r>
            <w:r>
              <w:rPr>
                <w:rFonts w:hint="eastAsia" w:asciiTheme="minorEastAsia" w:hAnsiTheme="minorEastAsia" w:eastAsiaTheme="minorEastAsia"/>
                <w:b/>
                <w:color w:val="auto"/>
                <w:sz w:val="24"/>
                <w:szCs w:val="24"/>
                <w:highlight w:val="none"/>
              </w:rPr>
              <w:t>之内货交采购单位仓库，采购单位将直接委托第三方物流代为配送，</w:t>
            </w:r>
            <w:r>
              <w:rPr>
                <w:rFonts w:hint="eastAsia" w:cs="宋体" w:asciiTheme="minorEastAsia" w:hAnsiTheme="minorEastAsia" w:eastAsiaTheme="minorEastAsia"/>
                <w:b/>
                <w:color w:val="auto"/>
                <w:sz w:val="24"/>
                <w:szCs w:val="24"/>
                <w:highlight w:val="none"/>
              </w:rPr>
              <w:t>二次仓储操作及</w:t>
            </w:r>
            <w:r>
              <w:rPr>
                <w:rFonts w:hint="eastAsia" w:asciiTheme="minorEastAsia" w:hAnsiTheme="minorEastAsia" w:eastAsiaTheme="minorEastAsia"/>
                <w:b/>
                <w:color w:val="auto"/>
                <w:sz w:val="24"/>
                <w:szCs w:val="24"/>
                <w:highlight w:val="none"/>
              </w:rPr>
              <w:t>配送费用由中标供应商直接向第三方物流支付。第三方物流</w:t>
            </w:r>
            <w:r>
              <w:rPr>
                <w:rFonts w:hint="eastAsia" w:cs="宋体" w:asciiTheme="minorEastAsia" w:hAnsiTheme="minorEastAsia" w:eastAsiaTheme="minorEastAsia"/>
                <w:b/>
                <w:color w:val="auto"/>
                <w:sz w:val="24"/>
                <w:szCs w:val="24"/>
                <w:highlight w:val="none"/>
              </w:rPr>
              <w:t>二次仓储操作及</w:t>
            </w:r>
            <w:r>
              <w:rPr>
                <w:rFonts w:hint="eastAsia" w:asciiTheme="minorEastAsia" w:hAnsiTheme="minorEastAsia" w:eastAsiaTheme="minorEastAsia"/>
                <w:b/>
                <w:color w:val="auto"/>
                <w:sz w:val="24"/>
                <w:szCs w:val="24"/>
                <w:highlight w:val="none"/>
              </w:rPr>
              <w:t>配送费用标准为：</w:t>
            </w:r>
            <w:r>
              <w:rPr>
                <w:rFonts w:hint="eastAsia" w:cs="宋体" w:asciiTheme="minorEastAsia" w:hAnsiTheme="minorEastAsia" w:eastAsiaTheme="minorEastAsia"/>
                <w:b/>
                <w:bCs/>
                <w:color w:val="auto"/>
                <w:sz w:val="24"/>
                <w:szCs w:val="24"/>
                <w:highlight w:val="none"/>
              </w:rPr>
              <w:t>二次配送费用为</w:t>
            </w:r>
            <w:r>
              <w:rPr>
                <w:rFonts w:cs="宋体" w:asciiTheme="minorEastAsia" w:hAnsiTheme="minorEastAsia" w:eastAsiaTheme="minorEastAsia"/>
                <w:b/>
                <w:bCs/>
                <w:color w:val="auto"/>
                <w:sz w:val="24"/>
                <w:szCs w:val="24"/>
                <w:highlight w:val="none"/>
              </w:rPr>
              <w:t>22元/台，仓储操作费8元/台。</w:t>
            </w:r>
            <w:r>
              <w:rPr>
                <w:rFonts w:cs="宋体" w:asciiTheme="minorEastAsia" w:hAnsiTheme="minorEastAsia" w:eastAsiaTheme="minorEastAsia"/>
                <w:color w:val="auto"/>
                <w:sz w:val="24"/>
                <w:szCs w:val="24"/>
                <w:highlight w:val="none"/>
              </w:rPr>
              <w:t xml:space="preserve"> </w:t>
            </w:r>
          </w:p>
          <w:p w14:paraId="1ACAB475">
            <w:pPr>
              <w:spacing w:line="360" w:lineRule="auto"/>
              <w:ind w:firstLine="562"/>
              <w:jc w:val="left"/>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若中标供应商未向第三方物流支付</w:t>
            </w:r>
            <w:r>
              <w:rPr>
                <w:rFonts w:hint="eastAsia" w:cs="宋体" w:asciiTheme="minorEastAsia" w:hAnsiTheme="minorEastAsia" w:eastAsiaTheme="minorEastAsia"/>
                <w:b/>
                <w:color w:val="auto"/>
                <w:sz w:val="24"/>
                <w:szCs w:val="24"/>
                <w:highlight w:val="none"/>
              </w:rPr>
              <w:t>二次仓储操作及</w:t>
            </w:r>
            <w:r>
              <w:rPr>
                <w:rFonts w:hint="eastAsia" w:asciiTheme="minorEastAsia" w:hAnsiTheme="minorEastAsia" w:eastAsiaTheme="minorEastAsia"/>
                <w:b/>
                <w:color w:val="auto"/>
                <w:sz w:val="24"/>
                <w:szCs w:val="24"/>
                <w:highlight w:val="none"/>
              </w:rPr>
              <w:t>配送费用的，采购单位将代为支付，并从未付中标供应商款项中扣除。</w:t>
            </w:r>
          </w:p>
        </w:tc>
      </w:tr>
      <w:tr w14:paraId="16EA0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5AD80316">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59</w:t>
            </w:r>
          </w:p>
        </w:tc>
        <w:tc>
          <w:tcPr>
            <w:tcW w:w="696" w:type="dxa"/>
          </w:tcPr>
          <w:p w14:paraId="7B22A195">
            <w:pPr>
              <w:spacing w:line="360" w:lineRule="auto"/>
              <w:jc w:val="center"/>
              <w:rPr>
                <w:rFonts w:ascii="宋体" w:hAnsi="宋体" w:cs="宋体"/>
                <w:color w:val="auto"/>
                <w:sz w:val="24"/>
                <w:szCs w:val="24"/>
                <w:highlight w:val="none"/>
              </w:rPr>
            </w:pPr>
          </w:p>
        </w:tc>
        <w:tc>
          <w:tcPr>
            <w:tcW w:w="1422" w:type="dxa"/>
          </w:tcPr>
          <w:p w14:paraId="05016997">
            <w:pPr>
              <w:spacing w:line="360" w:lineRule="auto"/>
              <w:jc w:val="center"/>
              <w:rPr>
                <w:rFonts w:ascii="宋体" w:hAnsi="宋体" w:cs="宋体"/>
                <w:color w:val="auto"/>
                <w:sz w:val="24"/>
                <w:szCs w:val="24"/>
                <w:highlight w:val="none"/>
              </w:rPr>
            </w:pPr>
          </w:p>
        </w:tc>
        <w:tc>
          <w:tcPr>
            <w:tcW w:w="5925" w:type="dxa"/>
          </w:tcPr>
          <w:p w14:paraId="798A4CE6">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*5、合同签订之日每三个月，采购单位可根据市场行情变化，与中标供应商就产品单价进行重新谈判。</w:t>
            </w:r>
          </w:p>
        </w:tc>
      </w:tr>
      <w:tr w14:paraId="33F1E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7C4DB30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60</w:t>
            </w:r>
          </w:p>
        </w:tc>
        <w:tc>
          <w:tcPr>
            <w:tcW w:w="696" w:type="dxa"/>
          </w:tcPr>
          <w:p w14:paraId="02A9617F">
            <w:pPr>
              <w:spacing w:line="360" w:lineRule="auto"/>
              <w:jc w:val="center"/>
              <w:rPr>
                <w:rFonts w:ascii="宋体" w:hAnsi="宋体" w:cs="宋体"/>
                <w:color w:val="auto"/>
                <w:sz w:val="24"/>
                <w:szCs w:val="24"/>
                <w:highlight w:val="none"/>
              </w:rPr>
            </w:pPr>
          </w:p>
        </w:tc>
        <w:tc>
          <w:tcPr>
            <w:tcW w:w="1422" w:type="dxa"/>
          </w:tcPr>
          <w:p w14:paraId="35428B7E">
            <w:pPr>
              <w:spacing w:line="360" w:lineRule="auto"/>
              <w:jc w:val="center"/>
              <w:rPr>
                <w:rFonts w:ascii="宋体" w:hAnsi="宋体" w:cs="宋体"/>
                <w:color w:val="auto"/>
                <w:sz w:val="24"/>
                <w:szCs w:val="24"/>
                <w:highlight w:val="none"/>
              </w:rPr>
            </w:pPr>
          </w:p>
        </w:tc>
        <w:tc>
          <w:tcPr>
            <w:tcW w:w="5925" w:type="dxa"/>
          </w:tcPr>
          <w:p w14:paraId="5FCF0C18">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*6、投标人承诺同意在供货期间，</w:t>
            </w:r>
            <w:r>
              <w:rPr>
                <w:rFonts w:hint="eastAsia" w:asciiTheme="minorEastAsia" w:hAnsiTheme="minorEastAsia" w:eastAsiaTheme="minorEastAsia"/>
                <w:b/>
                <w:color w:val="auto"/>
                <w:sz w:val="24"/>
                <w:szCs w:val="24"/>
                <w:highlight w:val="none"/>
              </w:rPr>
              <w:t>遇合同型号价格下调，中标供应商应在</w:t>
            </w:r>
            <w:r>
              <w:rPr>
                <w:rFonts w:asciiTheme="minorEastAsia" w:hAnsiTheme="minorEastAsia" w:eastAsiaTheme="minorEastAsia"/>
                <w:b/>
                <w:color w:val="auto"/>
                <w:sz w:val="24"/>
                <w:szCs w:val="24"/>
                <w:highlight w:val="none"/>
              </w:rPr>
              <w:t>2个工作日内将新的价格以书面形式告知采购单位，经采购单位确认后按最新价格进行供货并结算。一旦采购单位发现合同单价高于其它同类销售渠道或主流网站（京东、苏宁易购、易迅、1号店、天猫）等的常规销售价格，采购单位有权要求中标供应</w:t>
            </w:r>
            <w:r>
              <w:rPr>
                <w:rFonts w:hint="eastAsia" w:asciiTheme="minorEastAsia" w:hAnsiTheme="minorEastAsia" w:eastAsiaTheme="minorEastAsia"/>
                <w:b/>
                <w:color w:val="auto"/>
                <w:sz w:val="24"/>
                <w:szCs w:val="24"/>
                <w:highlight w:val="none"/>
              </w:rPr>
              <w:t>商调低合同货物的价格至少</w:t>
            </w:r>
            <w:r>
              <w:rPr>
                <w:rFonts w:asciiTheme="minorEastAsia" w:hAnsiTheme="minorEastAsia" w:eastAsiaTheme="minorEastAsia"/>
                <w:b/>
                <w:color w:val="auto"/>
                <w:sz w:val="24"/>
                <w:szCs w:val="24"/>
                <w:highlight w:val="none"/>
              </w:rPr>
              <w:t>5%</w:t>
            </w:r>
            <w:r>
              <w:rPr>
                <w:rFonts w:hint="eastAsia" w:asciiTheme="minorEastAsia" w:hAnsiTheme="minorEastAsia" w:eastAsiaTheme="minorEastAsia"/>
                <w:b/>
                <w:color w:val="auto"/>
                <w:sz w:val="24"/>
                <w:szCs w:val="24"/>
                <w:highlight w:val="none"/>
              </w:rPr>
              <w:t>，如中标供应商拒绝调整或双方就价格调整无法协商一致的，中标供应商应按逾期天数，每日承担相当于履约保证金金额</w:t>
            </w:r>
            <w:r>
              <w:rPr>
                <w:rFonts w:asciiTheme="minorEastAsia" w:hAnsiTheme="minorEastAsia" w:eastAsiaTheme="minorEastAsia"/>
                <w:b/>
                <w:color w:val="auto"/>
                <w:sz w:val="24"/>
                <w:szCs w:val="24"/>
                <w:highlight w:val="none"/>
              </w:rPr>
              <w:t>0.5%的违约金，同时采购单位有权终止本合同，</w:t>
            </w:r>
            <w:r>
              <w:rPr>
                <w:rFonts w:hint="eastAsia" w:asciiTheme="minorEastAsia" w:hAnsiTheme="minorEastAsia" w:eastAsiaTheme="minorEastAsia"/>
                <w:b/>
                <w:color w:val="auto"/>
                <w:sz w:val="24"/>
                <w:szCs w:val="24"/>
                <w:highlight w:val="none"/>
              </w:rPr>
              <w:t>不视为采购单位违约。</w:t>
            </w:r>
          </w:p>
        </w:tc>
      </w:tr>
      <w:tr w14:paraId="52987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2CC6C3B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61</w:t>
            </w:r>
          </w:p>
        </w:tc>
        <w:tc>
          <w:tcPr>
            <w:tcW w:w="696" w:type="dxa"/>
          </w:tcPr>
          <w:p w14:paraId="2D40789C">
            <w:pPr>
              <w:spacing w:line="360" w:lineRule="auto"/>
              <w:jc w:val="center"/>
              <w:rPr>
                <w:rFonts w:ascii="宋体" w:hAnsi="宋体" w:cs="宋体"/>
                <w:color w:val="auto"/>
                <w:sz w:val="24"/>
                <w:szCs w:val="24"/>
                <w:highlight w:val="none"/>
              </w:rPr>
            </w:pPr>
          </w:p>
        </w:tc>
        <w:tc>
          <w:tcPr>
            <w:tcW w:w="1422" w:type="dxa"/>
          </w:tcPr>
          <w:p w14:paraId="4E68F55B">
            <w:pPr>
              <w:spacing w:line="360" w:lineRule="auto"/>
              <w:jc w:val="center"/>
              <w:rPr>
                <w:rFonts w:ascii="宋体" w:hAnsi="宋体" w:cs="宋体"/>
                <w:color w:val="auto"/>
                <w:sz w:val="24"/>
                <w:szCs w:val="24"/>
                <w:highlight w:val="none"/>
              </w:rPr>
            </w:pPr>
          </w:p>
        </w:tc>
        <w:tc>
          <w:tcPr>
            <w:tcW w:w="5925" w:type="dxa"/>
          </w:tcPr>
          <w:p w14:paraId="7913793E">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七</w:t>
            </w:r>
            <w:r>
              <w:rPr>
                <w:rFonts w:hint="eastAsia" w:asciiTheme="minorEastAsia" w:hAnsiTheme="minorEastAsia" w:eastAsiaTheme="minorEastAsia"/>
                <w:b/>
                <w:color w:val="auto"/>
                <w:sz w:val="24"/>
                <w:szCs w:val="24"/>
                <w:highlight w:val="none"/>
              </w:rPr>
              <w:t>、</w:t>
            </w:r>
            <w:r>
              <w:rPr>
                <w:rFonts w:asciiTheme="minorEastAsia" w:hAnsiTheme="minorEastAsia" w:eastAsiaTheme="minorEastAsia"/>
                <w:b/>
                <w:color w:val="auto"/>
                <w:sz w:val="24"/>
                <w:szCs w:val="24"/>
                <w:highlight w:val="none"/>
              </w:rPr>
              <w:t>*1、投标人须在投标文件中明确</w:t>
            </w:r>
            <w:r>
              <w:rPr>
                <w:rFonts w:hint="eastAsia" w:asciiTheme="minorEastAsia" w:hAnsiTheme="minorEastAsia" w:eastAsiaTheme="minorEastAsia"/>
                <w:b/>
                <w:color w:val="auto"/>
                <w:sz w:val="24"/>
                <w:szCs w:val="24"/>
                <w:highlight w:val="none"/>
              </w:rPr>
              <w:t>作出如下承诺：投标人承诺接受《采购合同》中《服务考核细则》对其的考核并同意按考核情况处理。</w:t>
            </w:r>
          </w:p>
        </w:tc>
      </w:tr>
      <w:tr w14:paraId="2C995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4B8B374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62</w:t>
            </w:r>
          </w:p>
        </w:tc>
        <w:tc>
          <w:tcPr>
            <w:tcW w:w="696" w:type="dxa"/>
          </w:tcPr>
          <w:p w14:paraId="1F233686">
            <w:pPr>
              <w:spacing w:line="360" w:lineRule="auto"/>
              <w:jc w:val="center"/>
              <w:rPr>
                <w:rFonts w:ascii="宋体" w:hAnsi="宋体" w:cs="宋体"/>
                <w:color w:val="auto"/>
                <w:sz w:val="24"/>
                <w:szCs w:val="24"/>
                <w:highlight w:val="none"/>
              </w:rPr>
            </w:pPr>
          </w:p>
        </w:tc>
        <w:tc>
          <w:tcPr>
            <w:tcW w:w="1422" w:type="dxa"/>
          </w:tcPr>
          <w:p w14:paraId="00B43AAF">
            <w:pPr>
              <w:spacing w:line="360" w:lineRule="auto"/>
              <w:jc w:val="center"/>
              <w:rPr>
                <w:rFonts w:ascii="宋体" w:hAnsi="宋体" w:cs="宋体"/>
                <w:color w:val="auto"/>
                <w:sz w:val="24"/>
                <w:szCs w:val="24"/>
                <w:highlight w:val="none"/>
              </w:rPr>
            </w:pPr>
          </w:p>
        </w:tc>
        <w:tc>
          <w:tcPr>
            <w:tcW w:w="5925" w:type="dxa"/>
          </w:tcPr>
          <w:p w14:paraId="1937218A">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*2、采购单位付款时，中标供应商应提供一般纳税人的增值税专用发票（包括采购单位需支付中标供应商的所有费用，例如安装费用等）；否则，采购单位有权拒绝支付相应款项。</w:t>
            </w:r>
          </w:p>
        </w:tc>
      </w:tr>
      <w:tr w14:paraId="35FD0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5EFC44F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63</w:t>
            </w:r>
          </w:p>
        </w:tc>
        <w:tc>
          <w:tcPr>
            <w:tcW w:w="696" w:type="dxa"/>
          </w:tcPr>
          <w:p w14:paraId="79600254">
            <w:pPr>
              <w:spacing w:line="360" w:lineRule="auto"/>
              <w:jc w:val="center"/>
              <w:rPr>
                <w:rFonts w:ascii="宋体" w:hAnsi="宋体" w:cs="宋体"/>
                <w:color w:val="auto"/>
                <w:sz w:val="24"/>
                <w:szCs w:val="24"/>
                <w:highlight w:val="none"/>
              </w:rPr>
            </w:pPr>
          </w:p>
        </w:tc>
        <w:tc>
          <w:tcPr>
            <w:tcW w:w="1422" w:type="dxa"/>
          </w:tcPr>
          <w:p w14:paraId="2E50E8AC">
            <w:pPr>
              <w:spacing w:line="360" w:lineRule="auto"/>
              <w:jc w:val="center"/>
              <w:rPr>
                <w:rFonts w:ascii="宋体" w:hAnsi="宋体" w:cs="宋体"/>
                <w:color w:val="auto"/>
                <w:sz w:val="24"/>
                <w:szCs w:val="24"/>
                <w:highlight w:val="none"/>
              </w:rPr>
            </w:pPr>
          </w:p>
        </w:tc>
        <w:tc>
          <w:tcPr>
            <w:tcW w:w="5925" w:type="dxa"/>
          </w:tcPr>
          <w:p w14:paraId="508B7364">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*3、投标人承诺，如获中标将配合采购单位及产品检验检测机构进行投标产品的检验检测，产品检验检测产生的一切相关费用由中标供应商承担。</w:t>
            </w:r>
          </w:p>
        </w:tc>
      </w:tr>
      <w:tr w14:paraId="5A6EA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43836FF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64</w:t>
            </w:r>
          </w:p>
        </w:tc>
        <w:tc>
          <w:tcPr>
            <w:tcW w:w="696" w:type="dxa"/>
          </w:tcPr>
          <w:p w14:paraId="0195F381">
            <w:pPr>
              <w:spacing w:line="360" w:lineRule="auto"/>
              <w:jc w:val="center"/>
              <w:rPr>
                <w:rFonts w:ascii="宋体" w:hAnsi="宋体" w:cs="宋体"/>
                <w:color w:val="auto"/>
                <w:sz w:val="24"/>
                <w:szCs w:val="24"/>
                <w:highlight w:val="none"/>
              </w:rPr>
            </w:pPr>
          </w:p>
        </w:tc>
        <w:tc>
          <w:tcPr>
            <w:tcW w:w="1422" w:type="dxa"/>
          </w:tcPr>
          <w:p w14:paraId="472E1998">
            <w:pPr>
              <w:spacing w:line="360" w:lineRule="auto"/>
              <w:jc w:val="center"/>
              <w:rPr>
                <w:rFonts w:ascii="宋体" w:hAnsi="宋体" w:cs="宋体"/>
                <w:color w:val="auto"/>
                <w:sz w:val="24"/>
                <w:szCs w:val="24"/>
                <w:highlight w:val="none"/>
              </w:rPr>
            </w:pPr>
          </w:p>
        </w:tc>
        <w:tc>
          <w:tcPr>
            <w:tcW w:w="5925" w:type="dxa"/>
          </w:tcPr>
          <w:p w14:paraId="223E83AB">
            <w:pPr>
              <w:spacing w:line="360" w:lineRule="auto"/>
              <w:ind w:firstLine="482" w:firstLineChars="200"/>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*4、</w:t>
            </w:r>
            <w:r>
              <w:rPr>
                <w:rFonts w:hint="eastAsia" w:asciiTheme="minorEastAsia" w:hAnsiTheme="minorEastAsia" w:eastAsiaTheme="minorEastAsia"/>
                <w:b/>
                <w:color w:val="auto"/>
                <w:sz w:val="24"/>
                <w:szCs w:val="24"/>
                <w:highlight w:val="none"/>
              </w:rPr>
              <w:t>中标服务费与履约保证金：本项目中标服务费按每批次《定货单》金额的收费标准收取，中标供应商最迟在采购单位发出《定货单》之日起</w:t>
            </w:r>
            <w:r>
              <w:rPr>
                <w:rFonts w:asciiTheme="minorEastAsia" w:hAnsiTheme="minorEastAsia" w:eastAsiaTheme="minorEastAsia"/>
                <w:b/>
                <w:color w:val="auto"/>
                <w:sz w:val="24"/>
                <w:szCs w:val="24"/>
                <w:highlight w:val="none"/>
              </w:rPr>
              <w:t>10个工作日内向招标代理机构缴交中标服务费。中标服务费的收取按差额定率累进法计算,由中标供应商支付，中标服务费按每个《定货单》金额分别收取，《定货单》金额不予累加。</w:t>
            </w:r>
          </w:p>
          <w:p w14:paraId="31D4088B">
            <w:pPr>
              <w:widowControl/>
              <w:spacing w:line="360" w:lineRule="auto"/>
              <w:jc w:val="left"/>
              <w:rPr>
                <w:rFonts w:asciiTheme="minorEastAsia" w:hAnsiTheme="minorEastAsia" w:eastAsiaTheme="minorEastAsia"/>
                <w:b/>
                <w:color w:val="auto"/>
                <w:sz w:val="24"/>
                <w:szCs w:val="24"/>
                <w:highlight w:val="none"/>
              </w:rPr>
            </w:pPr>
            <w:r>
              <w:rPr>
                <w:rFonts w:hint="eastAsia" w:cs="仿宋" w:asciiTheme="minorEastAsia" w:hAnsiTheme="minorEastAsia" w:eastAsiaTheme="minorEastAsia"/>
                <w:b/>
                <w:color w:val="auto"/>
                <w:sz w:val="24"/>
                <w:szCs w:val="24"/>
                <w:highlight w:val="none"/>
              </w:rPr>
              <w:t>中标供应商应在合同签订之日起</w:t>
            </w:r>
            <w:r>
              <w:rPr>
                <w:rFonts w:cs="仿宋" w:asciiTheme="minorEastAsia" w:hAnsiTheme="minorEastAsia" w:eastAsiaTheme="minorEastAsia"/>
                <w:b/>
                <w:color w:val="auto"/>
                <w:sz w:val="24"/>
                <w:szCs w:val="24"/>
                <w:highlight w:val="none"/>
              </w:rPr>
              <w:t>7个日历日内向采购单位提供中标/成交总金额5%的履约保证金。其中2.5%作为供货履约保证金，于本合同有效期满后最后</w:t>
            </w:r>
            <w:r>
              <w:rPr>
                <w:rFonts w:hint="eastAsia" w:cs="仿宋" w:asciiTheme="minorEastAsia" w:hAnsiTheme="minorEastAsia" w:eastAsiaTheme="minorEastAsia"/>
                <w:b/>
                <w:color w:val="auto"/>
                <w:sz w:val="24"/>
                <w:szCs w:val="24"/>
                <w:highlight w:val="none"/>
              </w:rPr>
              <w:t>一批次货物供货后</w:t>
            </w:r>
            <w:r>
              <w:rPr>
                <w:rFonts w:cs="仿宋" w:asciiTheme="minorEastAsia" w:hAnsiTheme="minorEastAsia" w:eastAsiaTheme="minorEastAsia"/>
                <w:b/>
                <w:color w:val="auto"/>
                <w:sz w:val="24"/>
                <w:szCs w:val="24"/>
                <w:highlight w:val="none"/>
              </w:rPr>
              <w:t>20个工作日内一次性无息付清（扣除相应的违约金、赔偿金）。2.5%作为售后履约</w:t>
            </w:r>
            <w:r>
              <w:rPr>
                <w:rFonts w:hint="eastAsia" w:cs="仿宋" w:asciiTheme="minorEastAsia" w:hAnsiTheme="minorEastAsia" w:eastAsiaTheme="minorEastAsia"/>
                <w:b/>
                <w:color w:val="auto"/>
                <w:sz w:val="24"/>
                <w:szCs w:val="24"/>
                <w:highlight w:val="none"/>
              </w:rPr>
              <w:t>保证金待本合同有效期内最后一批次货物保修期届满后</w:t>
            </w:r>
            <w:r>
              <w:rPr>
                <w:rFonts w:cs="仿宋" w:asciiTheme="minorEastAsia" w:hAnsiTheme="minorEastAsia" w:eastAsiaTheme="minorEastAsia"/>
                <w:b/>
                <w:color w:val="auto"/>
                <w:sz w:val="24"/>
                <w:szCs w:val="24"/>
                <w:highlight w:val="none"/>
              </w:rPr>
              <w:t>20个工作日内一次性无息付清（扣除相应的违约金、赔偿金）。</w:t>
            </w:r>
          </w:p>
        </w:tc>
      </w:tr>
      <w:tr w14:paraId="264D6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4417403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65</w:t>
            </w:r>
          </w:p>
        </w:tc>
        <w:tc>
          <w:tcPr>
            <w:tcW w:w="696" w:type="dxa"/>
          </w:tcPr>
          <w:p w14:paraId="6DBF49C4">
            <w:pPr>
              <w:spacing w:line="360" w:lineRule="auto"/>
              <w:jc w:val="center"/>
              <w:rPr>
                <w:rFonts w:ascii="宋体" w:hAnsi="宋体" w:cs="宋体"/>
                <w:color w:val="auto"/>
                <w:sz w:val="24"/>
                <w:szCs w:val="24"/>
                <w:highlight w:val="none"/>
              </w:rPr>
            </w:pPr>
          </w:p>
        </w:tc>
        <w:tc>
          <w:tcPr>
            <w:tcW w:w="1422" w:type="dxa"/>
          </w:tcPr>
          <w:p w14:paraId="39405AA8">
            <w:pPr>
              <w:spacing w:line="360" w:lineRule="auto"/>
              <w:jc w:val="center"/>
              <w:rPr>
                <w:rFonts w:ascii="宋体" w:hAnsi="宋体" w:cs="宋体"/>
                <w:color w:val="auto"/>
                <w:sz w:val="24"/>
                <w:szCs w:val="24"/>
                <w:highlight w:val="none"/>
              </w:rPr>
            </w:pPr>
          </w:p>
        </w:tc>
        <w:tc>
          <w:tcPr>
            <w:tcW w:w="5925" w:type="dxa"/>
          </w:tcPr>
          <w:p w14:paraId="2A2B1173">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*5、</w:t>
            </w:r>
            <w:r>
              <w:rPr>
                <w:rFonts w:hint="eastAsia" w:asciiTheme="minorEastAsia" w:hAnsiTheme="minorEastAsia" w:eastAsiaTheme="minorEastAsia"/>
                <w:b/>
                <w:color w:val="auto"/>
                <w:sz w:val="24"/>
                <w:szCs w:val="24"/>
                <w:highlight w:val="none"/>
              </w:rPr>
              <w:t>投标人承诺同意免费提供品目号</w:t>
            </w:r>
            <w:r>
              <w:rPr>
                <w:rFonts w:asciiTheme="minorEastAsia" w:hAnsiTheme="minorEastAsia" w:eastAsiaTheme="minorEastAsia"/>
                <w:b/>
                <w:color w:val="auto"/>
                <w:sz w:val="24"/>
                <w:szCs w:val="24"/>
                <w:highlight w:val="none"/>
              </w:rPr>
              <w:t>1-1号5</w:t>
            </w:r>
            <w:r>
              <w:rPr>
                <w:rFonts w:hint="eastAsia" w:asciiTheme="minorEastAsia" w:hAnsiTheme="minorEastAsia" w:eastAsiaTheme="minorEastAsia"/>
                <w:b/>
                <w:color w:val="auto"/>
                <w:sz w:val="24"/>
                <w:szCs w:val="24"/>
                <w:highlight w:val="none"/>
              </w:rPr>
              <w:t>台；品目</w:t>
            </w:r>
            <w:r>
              <w:rPr>
                <w:rFonts w:asciiTheme="minorEastAsia" w:hAnsiTheme="minorEastAsia" w:eastAsiaTheme="minorEastAsia"/>
                <w:b/>
                <w:color w:val="auto"/>
                <w:sz w:val="24"/>
                <w:szCs w:val="24"/>
                <w:highlight w:val="none"/>
              </w:rPr>
              <w:t>1-2号 2</w:t>
            </w:r>
            <w:r>
              <w:rPr>
                <w:rFonts w:hint="eastAsia" w:asciiTheme="minorEastAsia" w:hAnsiTheme="minorEastAsia" w:eastAsiaTheme="minorEastAsia"/>
                <w:b/>
                <w:color w:val="auto"/>
                <w:sz w:val="24"/>
                <w:szCs w:val="24"/>
                <w:highlight w:val="none"/>
              </w:rPr>
              <w:t>台；品目号</w:t>
            </w:r>
            <w:r>
              <w:rPr>
                <w:rFonts w:asciiTheme="minorEastAsia" w:hAnsiTheme="minorEastAsia" w:eastAsiaTheme="minorEastAsia"/>
                <w:b/>
                <w:color w:val="auto"/>
                <w:sz w:val="24"/>
                <w:szCs w:val="24"/>
                <w:highlight w:val="none"/>
              </w:rPr>
              <w:t>1-3号2</w:t>
            </w:r>
            <w:r>
              <w:rPr>
                <w:rFonts w:hint="eastAsia" w:asciiTheme="minorEastAsia" w:hAnsiTheme="minorEastAsia" w:eastAsiaTheme="minorEastAsia"/>
                <w:b/>
                <w:color w:val="auto"/>
                <w:sz w:val="24"/>
                <w:szCs w:val="24"/>
                <w:highlight w:val="none"/>
              </w:rPr>
              <w:t>台；品目号</w:t>
            </w:r>
            <w:r>
              <w:rPr>
                <w:rFonts w:asciiTheme="minorEastAsia" w:hAnsiTheme="minorEastAsia" w:eastAsiaTheme="minorEastAsia"/>
                <w:b/>
                <w:color w:val="auto"/>
                <w:sz w:val="24"/>
                <w:szCs w:val="24"/>
                <w:highlight w:val="none"/>
              </w:rPr>
              <w:t>1-4号2</w:t>
            </w:r>
            <w:r>
              <w:rPr>
                <w:rFonts w:hint="eastAsia" w:asciiTheme="minorEastAsia" w:hAnsiTheme="minorEastAsia" w:eastAsiaTheme="minorEastAsia"/>
                <w:b/>
                <w:color w:val="auto"/>
                <w:sz w:val="24"/>
                <w:szCs w:val="24"/>
                <w:highlight w:val="none"/>
              </w:rPr>
              <w:t>台给予采购单位作为备用机，且于中标后第一次供货时一并提供，质保期满后备用机不再收回。</w:t>
            </w:r>
          </w:p>
        </w:tc>
      </w:tr>
      <w:tr w14:paraId="2AD86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3B261A8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66</w:t>
            </w:r>
          </w:p>
        </w:tc>
        <w:tc>
          <w:tcPr>
            <w:tcW w:w="696" w:type="dxa"/>
          </w:tcPr>
          <w:p w14:paraId="1EE9A70F">
            <w:pPr>
              <w:spacing w:line="360" w:lineRule="auto"/>
              <w:jc w:val="center"/>
              <w:rPr>
                <w:rFonts w:ascii="宋体" w:hAnsi="宋体" w:cs="宋体"/>
                <w:color w:val="auto"/>
                <w:sz w:val="24"/>
                <w:szCs w:val="24"/>
                <w:highlight w:val="none"/>
              </w:rPr>
            </w:pPr>
          </w:p>
        </w:tc>
        <w:tc>
          <w:tcPr>
            <w:tcW w:w="1422" w:type="dxa"/>
          </w:tcPr>
          <w:p w14:paraId="0BA2887C">
            <w:pPr>
              <w:spacing w:line="360" w:lineRule="auto"/>
              <w:jc w:val="center"/>
              <w:rPr>
                <w:rFonts w:ascii="宋体" w:hAnsi="宋体" w:cs="宋体"/>
                <w:color w:val="auto"/>
                <w:sz w:val="24"/>
                <w:szCs w:val="24"/>
                <w:highlight w:val="none"/>
              </w:rPr>
            </w:pPr>
          </w:p>
        </w:tc>
        <w:tc>
          <w:tcPr>
            <w:tcW w:w="5925" w:type="dxa"/>
          </w:tcPr>
          <w:p w14:paraId="64D32E4B">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6、投标人须在投标文件中明确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投标报价有效期为半年。</w:t>
            </w:r>
          </w:p>
        </w:tc>
      </w:tr>
      <w:tr w14:paraId="52106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5533C4F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67</w:t>
            </w:r>
          </w:p>
        </w:tc>
        <w:tc>
          <w:tcPr>
            <w:tcW w:w="696" w:type="dxa"/>
          </w:tcPr>
          <w:p w14:paraId="5A0FE42F">
            <w:pPr>
              <w:spacing w:line="360" w:lineRule="auto"/>
              <w:jc w:val="center"/>
              <w:rPr>
                <w:rFonts w:ascii="宋体" w:hAnsi="宋体" w:cs="宋体"/>
                <w:color w:val="auto"/>
                <w:sz w:val="24"/>
                <w:szCs w:val="24"/>
                <w:highlight w:val="none"/>
              </w:rPr>
            </w:pPr>
          </w:p>
        </w:tc>
        <w:tc>
          <w:tcPr>
            <w:tcW w:w="1422" w:type="dxa"/>
          </w:tcPr>
          <w:p w14:paraId="3E6277B1">
            <w:pPr>
              <w:spacing w:line="360" w:lineRule="auto"/>
              <w:jc w:val="center"/>
              <w:rPr>
                <w:rFonts w:ascii="宋体" w:hAnsi="宋体" w:cs="宋体"/>
                <w:color w:val="auto"/>
                <w:sz w:val="24"/>
                <w:szCs w:val="24"/>
                <w:highlight w:val="none"/>
              </w:rPr>
            </w:pPr>
          </w:p>
        </w:tc>
        <w:tc>
          <w:tcPr>
            <w:tcW w:w="5925" w:type="dxa"/>
          </w:tcPr>
          <w:p w14:paraId="41577C41">
            <w:pPr>
              <w:widowControl/>
              <w:spacing w:line="360" w:lineRule="auto"/>
              <w:jc w:val="left"/>
              <w:rPr>
                <w:rFonts w:asciiTheme="minorEastAsia" w:hAnsiTheme="minorEastAsia" w:eastAsiaTheme="minorEastAsia"/>
                <w:b/>
                <w:color w:val="auto"/>
                <w:sz w:val="24"/>
                <w:szCs w:val="24"/>
                <w:highlight w:val="none"/>
              </w:rPr>
            </w:pPr>
            <w:r>
              <w:rPr>
                <w:rFonts w:cs="微软雅黑" w:asciiTheme="minorEastAsia" w:hAnsiTheme="minorEastAsia" w:eastAsiaTheme="minorEastAsia"/>
                <w:b/>
                <w:bCs/>
                <w:color w:val="auto"/>
                <w:sz w:val="24"/>
                <w:szCs w:val="24"/>
                <w:highlight w:val="none"/>
              </w:rPr>
              <w:t>*7、针对本项目招标文件中第二章中的“技术评分”条</w:t>
            </w:r>
            <w:r>
              <w:rPr>
                <w:rFonts w:hint="eastAsia" w:cs="微软雅黑" w:asciiTheme="minorEastAsia" w:hAnsiTheme="minorEastAsia" w:eastAsiaTheme="minorEastAsia"/>
                <w:b/>
                <w:bCs/>
                <w:color w:val="auto"/>
                <w:sz w:val="24"/>
                <w:szCs w:val="24"/>
                <w:highlight w:val="none"/>
              </w:rPr>
              <w:t>款及第三章中“</w:t>
            </w:r>
            <w:r>
              <w:rPr>
                <w:rFonts w:cs="微软雅黑" w:asciiTheme="minorEastAsia" w:hAnsiTheme="minorEastAsia" w:eastAsiaTheme="minorEastAsia"/>
                <w:b/>
                <w:bCs/>
                <w:color w:val="auto"/>
                <w:sz w:val="24"/>
                <w:szCs w:val="24"/>
                <w:highlight w:val="none"/>
              </w:rPr>
              <w:t>二</w:t>
            </w:r>
            <w:r>
              <w:rPr>
                <w:rFonts w:hint="eastAsia" w:cs="微软雅黑" w:asciiTheme="minorEastAsia" w:hAnsiTheme="minorEastAsia" w:eastAsiaTheme="minorEastAsia"/>
                <w:b/>
                <w:bCs/>
                <w:color w:val="auto"/>
                <w:sz w:val="24"/>
                <w:szCs w:val="24"/>
                <w:highlight w:val="none"/>
              </w:rPr>
              <w:t>、</w:t>
            </w:r>
            <w:r>
              <w:rPr>
                <w:rFonts w:hint="eastAsia" w:asciiTheme="minorEastAsia" w:hAnsiTheme="minorEastAsia" w:eastAsiaTheme="minorEastAsia"/>
                <w:b/>
                <w:color w:val="auto"/>
                <w:sz w:val="24"/>
                <w:szCs w:val="24"/>
                <w:highlight w:val="none"/>
              </w:rPr>
              <w:t>主要技术参数及要求</w:t>
            </w:r>
            <w:r>
              <w:rPr>
                <w:rFonts w:hint="eastAsia" w:cs="微软雅黑" w:asciiTheme="minorEastAsia" w:hAnsiTheme="minorEastAsia" w:eastAsiaTheme="minorEastAsia"/>
                <w:b/>
                <w:bCs/>
                <w:color w:val="auto"/>
                <w:sz w:val="24"/>
                <w:szCs w:val="24"/>
                <w:highlight w:val="none"/>
              </w:rPr>
              <w:t>”的</w:t>
            </w:r>
            <w:r>
              <w:rPr>
                <w:rFonts w:cs="微软雅黑" w:asciiTheme="minorEastAsia" w:hAnsiTheme="minorEastAsia" w:eastAsiaTheme="minorEastAsia"/>
                <w:b/>
                <w:bCs/>
                <w:color w:val="auto"/>
                <w:sz w:val="24"/>
                <w:szCs w:val="24"/>
                <w:highlight w:val="none"/>
              </w:rPr>
              <w:t>*</w:t>
            </w:r>
            <w:r>
              <w:rPr>
                <w:rFonts w:hint="eastAsia" w:cs="微软雅黑" w:asciiTheme="minorEastAsia" w:hAnsiTheme="minorEastAsia" w:eastAsiaTheme="minorEastAsia"/>
                <w:b/>
                <w:bCs/>
                <w:color w:val="auto"/>
                <w:sz w:val="24"/>
                <w:szCs w:val="24"/>
                <w:highlight w:val="none"/>
              </w:rPr>
              <w:t>号技术参数，投标人需提供产品彩页或所投标品牌的国内或国外官方网站体现该投标型号对应的规格参数的网页截图复印件或说明书予以证明（加盖投标人公章，以上证明文件若出现参数不一致情况下，投标人须自行承担不利评审后果）。若投标人为联合体投标的，联合体中的一方盖章即可。</w:t>
            </w:r>
          </w:p>
        </w:tc>
      </w:tr>
      <w:tr w14:paraId="52CD2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5FFA939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68</w:t>
            </w:r>
          </w:p>
        </w:tc>
        <w:tc>
          <w:tcPr>
            <w:tcW w:w="696" w:type="dxa"/>
          </w:tcPr>
          <w:p w14:paraId="45A2813E">
            <w:pPr>
              <w:spacing w:line="360" w:lineRule="auto"/>
              <w:jc w:val="center"/>
              <w:rPr>
                <w:rFonts w:ascii="宋体" w:hAnsi="宋体" w:cs="宋体"/>
                <w:color w:val="auto"/>
                <w:sz w:val="24"/>
                <w:szCs w:val="24"/>
                <w:highlight w:val="none"/>
              </w:rPr>
            </w:pPr>
          </w:p>
        </w:tc>
        <w:tc>
          <w:tcPr>
            <w:tcW w:w="1422" w:type="dxa"/>
          </w:tcPr>
          <w:p w14:paraId="6B340A4E">
            <w:pPr>
              <w:spacing w:line="360" w:lineRule="auto"/>
              <w:jc w:val="center"/>
              <w:rPr>
                <w:rFonts w:ascii="宋体" w:hAnsi="宋体" w:cs="宋体"/>
                <w:color w:val="auto"/>
                <w:sz w:val="24"/>
                <w:szCs w:val="24"/>
                <w:highlight w:val="none"/>
              </w:rPr>
            </w:pPr>
          </w:p>
        </w:tc>
        <w:tc>
          <w:tcPr>
            <w:tcW w:w="5925" w:type="dxa"/>
          </w:tcPr>
          <w:p w14:paraId="0FE7E027">
            <w:pPr>
              <w:widowControl/>
              <w:spacing w:line="360" w:lineRule="auto"/>
              <w:jc w:val="left"/>
              <w:rPr>
                <w:rFonts w:cs="微软雅黑" w:asciiTheme="minorEastAsia" w:hAnsiTheme="minorEastAsia" w:eastAsiaTheme="minorEastAsia"/>
                <w:b/>
                <w:bCs/>
                <w:color w:val="auto"/>
                <w:sz w:val="24"/>
                <w:szCs w:val="24"/>
                <w:highlight w:val="none"/>
              </w:rPr>
            </w:pPr>
            <w:r>
              <w:rPr>
                <w:rFonts w:cs="微软雅黑" w:asciiTheme="minorEastAsia" w:hAnsiTheme="minorEastAsia" w:eastAsiaTheme="minorEastAsia"/>
                <w:b/>
                <w:bCs/>
                <w:color w:val="auto"/>
                <w:sz w:val="24"/>
                <w:szCs w:val="24"/>
                <w:highlight w:val="none"/>
              </w:rPr>
              <w:t>*8、投标人应在投标文件中提供书面承诺：保证所提供加盖投标人公章的产品彩页或所投标品牌的国内或国外官方网站体现该投标型号对应的规格参数的网页截图复印件与所投标品牌市面流通的同一品牌同一型号产品设备（该产品设备可由采购单位从市场上自行购买）内附说明书或光盘信息所体现的规格参数一致，若出现不一致的情形视为虚假应标。若本项目采购合同已签订的，在合同签订后的60个日历日内，采购单位有权单方面解除合同，没收全部履约保证金并且有权与第二位中标候选供应商签订合同，同时接受采购单位拒绝中标供应商参与下一年度大宗</w:t>
            </w:r>
            <w:r>
              <w:rPr>
                <w:rFonts w:hint="eastAsia" w:cs="微软雅黑" w:asciiTheme="minorEastAsia" w:hAnsiTheme="minorEastAsia" w:eastAsiaTheme="minorEastAsia"/>
                <w:b/>
                <w:bCs/>
                <w:color w:val="auto"/>
                <w:sz w:val="24"/>
                <w:szCs w:val="24"/>
                <w:highlight w:val="none"/>
              </w:rPr>
              <w:t>高拍仪项目的投标。投标人应对此条款无异议并在投标文件中提供书面承诺。</w:t>
            </w:r>
          </w:p>
        </w:tc>
      </w:tr>
      <w:tr w14:paraId="233B1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0ADA272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69</w:t>
            </w:r>
          </w:p>
        </w:tc>
        <w:tc>
          <w:tcPr>
            <w:tcW w:w="696" w:type="dxa"/>
          </w:tcPr>
          <w:p w14:paraId="1A3D5AAA">
            <w:pPr>
              <w:spacing w:line="360" w:lineRule="auto"/>
              <w:jc w:val="center"/>
              <w:rPr>
                <w:rFonts w:ascii="宋体" w:hAnsi="宋体" w:cs="宋体"/>
                <w:color w:val="auto"/>
                <w:sz w:val="24"/>
                <w:szCs w:val="24"/>
                <w:highlight w:val="none"/>
              </w:rPr>
            </w:pPr>
          </w:p>
        </w:tc>
        <w:tc>
          <w:tcPr>
            <w:tcW w:w="1422" w:type="dxa"/>
          </w:tcPr>
          <w:p w14:paraId="49292B04">
            <w:pPr>
              <w:spacing w:line="360" w:lineRule="auto"/>
              <w:jc w:val="center"/>
              <w:rPr>
                <w:rFonts w:ascii="宋体" w:hAnsi="宋体" w:cs="宋体"/>
                <w:color w:val="auto"/>
                <w:sz w:val="24"/>
                <w:szCs w:val="24"/>
                <w:highlight w:val="none"/>
              </w:rPr>
            </w:pPr>
          </w:p>
        </w:tc>
        <w:tc>
          <w:tcPr>
            <w:tcW w:w="5925" w:type="dxa"/>
          </w:tcPr>
          <w:p w14:paraId="19E7C046">
            <w:pPr>
              <w:widowControl/>
              <w:spacing w:line="360" w:lineRule="auto"/>
              <w:jc w:val="left"/>
              <w:rPr>
                <w:rFonts w:cs="微软雅黑" w:asciiTheme="minorEastAsia" w:hAnsiTheme="minorEastAsia" w:eastAsiaTheme="minorEastAsia"/>
                <w:b/>
                <w:bCs/>
                <w:color w:val="auto"/>
                <w:sz w:val="24"/>
                <w:szCs w:val="24"/>
                <w:highlight w:val="none"/>
              </w:rPr>
            </w:pPr>
            <w:r>
              <w:rPr>
                <w:rFonts w:asciiTheme="minorEastAsia" w:hAnsiTheme="minorEastAsia" w:eastAsiaTheme="minorEastAsia"/>
                <w:b/>
                <w:color w:val="auto"/>
                <w:sz w:val="24"/>
                <w:szCs w:val="24"/>
                <w:highlight w:val="none"/>
              </w:rPr>
              <w:t>*9、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w:t>
            </w:r>
            <w:r>
              <w:rPr>
                <w:rFonts w:hint="eastAsia" w:asciiTheme="minorEastAsia" w:hAnsiTheme="minorEastAsia" w:eastAsiaTheme="minorEastAsia"/>
                <w:b/>
                <w:color w:val="auto"/>
                <w:sz w:val="24"/>
                <w:szCs w:val="24"/>
                <w:highlight w:val="none"/>
              </w:rPr>
              <w:t>接给予扣除。</w:t>
            </w:r>
          </w:p>
        </w:tc>
      </w:tr>
      <w:tr w14:paraId="46C8B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13E9533C">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70</w:t>
            </w:r>
          </w:p>
        </w:tc>
        <w:tc>
          <w:tcPr>
            <w:tcW w:w="696" w:type="dxa"/>
          </w:tcPr>
          <w:p w14:paraId="233B77A1">
            <w:pPr>
              <w:spacing w:line="360" w:lineRule="auto"/>
              <w:jc w:val="center"/>
              <w:rPr>
                <w:rFonts w:ascii="宋体" w:hAnsi="宋体" w:cs="宋体"/>
                <w:color w:val="auto"/>
                <w:sz w:val="24"/>
                <w:szCs w:val="24"/>
                <w:highlight w:val="none"/>
              </w:rPr>
            </w:pPr>
          </w:p>
        </w:tc>
        <w:tc>
          <w:tcPr>
            <w:tcW w:w="1422" w:type="dxa"/>
          </w:tcPr>
          <w:p w14:paraId="041D298B">
            <w:pPr>
              <w:spacing w:line="360" w:lineRule="auto"/>
              <w:jc w:val="center"/>
              <w:rPr>
                <w:rFonts w:ascii="宋体" w:hAnsi="宋体" w:cs="宋体"/>
                <w:color w:val="auto"/>
                <w:sz w:val="24"/>
                <w:szCs w:val="24"/>
                <w:highlight w:val="none"/>
              </w:rPr>
            </w:pPr>
          </w:p>
        </w:tc>
        <w:tc>
          <w:tcPr>
            <w:tcW w:w="5925" w:type="dxa"/>
          </w:tcPr>
          <w:p w14:paraId="1AA33F2E">
            <w:pPr>
              <w:widowControl/>
              <w:spacing w:line="360" w:lineRule="auto"/>
              <w:jc w:val="left"/>
              <w:rPr>
                <w:rFonts w:cs="微软雅黑" w:asciiTheme="minorEastAsia" w:hAnsiTheme="minorEastAsia" w:eastAsiaTheme="minorEastAsia"/>
                <w:b/>
                <w:bCs/>
                <w:color w:val="auto"/>
                <w:sz w:val="24"/>
                <w:szCs w:val="24"/>
                <w:highlight w:val="none"/>
              </w:rPr>
            </w:pPr>
            <w:r>
              <w:rPr>
                <w:rFonts w:asciiTheme="minorEastAsia" w:hAnsiTheme="minorEastAsia" w:eastAsiaTheme="minorEastAsia"/>
                <w:b/>
                <w:color w:val="auto"/>
                <w:sz w:val="24"/>
                <w:szCs w:val="24"/>
                <w:highlight w:val="none"/>
              </w:rPr>
              <w:t>*10、投标人承诺若中标，将确保任何产品型号在供货期内能够满足采购单位的需求；若出现中标型号升级、变更或者停产的情况，应至少提前一个月书面通知采购单位相关信息（包括其升级产品型号、部件及详细配置方案），经采购单位书面同意后方可按升级后的产品（或</w:t>
            </w:r>
            <w:r>
              <w:rPr>
                <w:rFonts w:hint="eastAsia" w:asciiTheme="minorEastAsia" w:hAnsiTheme="minorEastAsia" w:eastAsiaTheme="minorEastAsia"/>
                <w:b/>
                <w:color w:val="auto"/>
                <w:sz w:val="24"/>
                <w:szCs w:val="24"/>
                <w:highlight w:val="none"/>
              </w:rPr>
              <w:t>配件）供货，价格按中标单价执行，交货时间按原投标承诺的时间执行。若在合同期内中标人有任何产品型号或配件停产且无法提供符合采购单位要求的升级型号或配件则视为严重违约，中标人应按每款机型</w:t>
            </w:r>
            <w:r>
              <w:rPr>
                <w:rFonts w:asciiTheme="minorEastAsia" w:hAnsiTheme="minorEastAsia" w:eastAsiaTheme="minorEastAsia"/>
                <w:b/>
                <w:color w:val="auto"/>
                <w:sz w:val="24"/>
                <w:szCs w:val="24"/>
                <w:highlight w:val="none"/>
              </w:rPr>
              <w:t>20000元向</w:t>
            </w:r>
            <w:r>
              <w:rPr>
                <w:rFonts w:hint="eastAsia" w:asciiTheme="minorEastAsia" w:hAnsiTheme="minorEastAsia" w:eastAsiaTheme="minorEastAsia"/>
                <w:b/>
                <w:color w:val="auto"/>
                <w:sz w:val="24"/>
                <w:szCs w:val="24"/>
                <w:highlight w:val="none"/>
              </w:rPr>
              <w:t>采购单位缴纳违约金，采购单位有权单方面解除采购合同，没收履约保证金并且有权与中标人之后第一位的中标候选供应商签订合同。</w:t>
            </w:r>
          </w:p>
        </w:tc>
      </w:tr>
      <w:tr w14:paraId="1483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7836180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71</w:t>
            </w:r>
          </w:p>
        </w:tc>
        <w:tc>
          <w:tcPr>
            <w:tcW w:w="696" w:type="dxa"/>
          </w:tcPr>
          <w:p w14:paraId="44ACB98F">
            <w:pPr>
              <w:spacing w:line="360" w:lineRule="auto"/>
              <w:jc w:val="center"/>
              <w:rPr>
                <w:rFonts w:ascii="宋体" w:hAnsi="宋体" w:cs="宋体"/>
                <w:color w:val="auto"/>
                <w:sz w:val="24"/>
                <w:szCs w:val="24"/>
                <w:highlight w:val="none"/>
              </w:rPr>
            </w:pPr>
          </w:p>
        </w:tc>
        <w:tc>
          <w:tcPr>
            <w:tcW w:w="1422" w:type="dxa"/>
          </w:tcPr>
          <w:p w14:paraId="6D7DE130">
            <w:pPr>
              <w:spacing w:line="360" w:lineRule="auto"/>
              <w:jc w:val="center"/>
              <w:rPr>
                <w:rFonts w:ascii="宋体" w:hAnsi="宋体" w:cs="宋体"/>
                <w:color w:val="auto"/>
                <w:sz w:val="24"/>
                <w:szCs w:val="24"/>
                <w:highlight w:val="none"/>
              </w:rPr>
            </w:pPr>
          </w:p>
        </w:tc>
        <w:tc>
          <w:tcPr>
            <w:tcW w:w="5925" w:type="dxa"/>
          </w:tcPr>
          <w:p w14:paraId="513981BC">
            <w:pPr>
              <w:widowControl/>
              <w:spacing w:line="360" w:lineRule="auto"/>
              <w:jc w:val="left"/>
              <w:rPr>
                <w:rFonts w:cs="微软雅黑" w:asciiTheme="minorEastAsia" w:hAnsiTheme="minorEastAsia" w:eastAsiaTheme="minorEastAsia"/>
                <w:b/>
                <w:bCs/>
                <w:color w:val="auto"/>
                <w:sz w:val="24"/>
                <w:szCs w:val="24"/>
                <w:highlight w:val="none"/>
              </w:rPr>
            </w:pPr>
            <w:r>
              <w:rPr>
                <w:rFonts w:asciiTheme="minorEastAsia" w:hAnsiTheme="minorEastAsia" w:eastAsiaTheme="minorEastAsia"/>
                <w:b/>
                <w:color w:val="auto"/>
                <w:sz w:val="24"/>
                <w:szCs w:val="24"/>
                <w:highlight w:val="none"/>
              </w:rPr>
              <w:t>*11、投标人承诺，若中标，其与采购单位之间发生的一切费用均以人民币进行结算及支付；采购单位可以通过银行转账的形式进行支付。</w:t>
            </w:r>
          </w:p>
        </w:tc>
      </w:tr>
      <w:tr w14:paraId="6A14E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003CEEC3">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72</w:t>
            </w:r>
          </w:p>
        </w:tc>
        <w:tc>
          <w:tcPr>
            <w:tcW w:w="696" w:type="dxa"/>
          </w:tcPr>
          <w:p w14:paraId="7F96735C">
            <w:pPr>
              <w:spacing w:line="360" w:lineRule="auto"/>
              <w:jc w:val="center"/>
              <w:rPr>
                <w:rFonts w:ascii="宋体" w:hAnsi="宋体" w:cs="宋体"/>
                <w:color w:val="auto"/>
                <w:sz w:val="24"/>
                <w:szCs w:val="24"/>
                <w:highlight w:val="none"/>
              </w:rPr>
            </w:pPr>
          </w:p>
        </w:tc>
        <w:tc>
          <w:tcPr>
            <w:tcW w:w="1422" w:type="dxa"/>
          </w:tcPr>
          <w:p w14:paraId="5B579FFA">
            <w:pPr>
              <w:spacing w:line="360" w:lineRule="auto"/>
              <w:jc w:val="center"/>
              <w:rPr>
                <w:rFonts w:ascii="宋体" w:hAnsi="宋体" w:cs="宋体"/>
                <w:color w:val="auto"/>
                <w:sz w:val="24"/>
                <w:szCs w:val="24"/>
                <w:highlight w:val="none"/>
              </w:rPr>
            </w:pPr>
          </w:p>
        </w:tc>
        <w:tc>
          <w:tcPr>
            <w:tcW w:w="5925" w:type="dxa"/>
          </w:tcPr>
          <w:p w14:paraId="07D459E7">
            <w:pPr>
              <w:widowControl/>
              <w:spacing w:line="360" w:lineRule="auto"/>
              <w:jc w:val="left"/>
              <w:rPr>
                <w:rFonts w:cs="微软雅黑" w:asciiTheme="minorEastAsia" w:hAnsiTheme="minorEastAsia" w:eastAsiaTheme="minorEastAsia"/>
                <w:b/>
                <w:bCs/>
                <w:color w:val="auto"/>
                <w:sz w:val="24"/>
                <w:szCs w:val="24"/>
                <w:highlight w:val="none"/>
              </w:rPr>
            </w:pPr>
            <w:r>
              <w:rPr>
                <w:rFonts w:asciiTheme="minorEastAsia" w:hAnsiTheme="minorEastAsia" w:eastAsiaTheme="minorEastAsia"/>
                <w:b/>
                <w:color w:val="auto"/>
                <w:sz w:val="24"/>
                <w:szCs w:val="24"/>
                <w:highlight w:val="none"/>
              </w:rPr>
              <w:t>*12、投标有效期：投标截止之日起</w:t>
            </w:r>
            <w:r>
              <w:rPr>
                <w:rFonts w:asciiTheme="minorEastAsia" w:hAnsiTheme="minorEastAsia" w:eastAsiaTheme="minorEastAsia"/>
                <w:b/>
                <w:color w:val="auto"/>
                <w:sz w:val="24"/>
                <w:szCs w:val="24"/>
                <w:highlight w:val="none"/>
                <w:u w:val="single"/>
              </w:rPr>
              <w:t>180</w:t>
            </w:r>
            <w:r>
              <w:rPr>
                <w:rFonts w:hint="eastAsia" w:asciiTheme="minorEastAsia" w:hAnsiTheme="minorEastAsia" w:eastAsiaTheme="minorEastAsia"/>
                <w:b/>
                <w:color w:val="auto"/>
                <w:sz w:val="24"/>
                <w:szCs w:val="24"/>
                <w:highlight w:val="none"/>
              </w:rPr>
              <w:t>个日历日。</w:t>
            </w:r>
          </w:p>
        </w:tc>
      </w:tr>
      <w:tr w14:paraId="7D0E1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7DD2B2C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73</w:t>
            </w:r>
          </w:p>
        </w:tc>
        <w:tc>
          <w:tcPr>
            <w:tcW w:w="696" w:type="dxa"/>
          </w:tcPr>
          <w:p w14:paraId="6989F429">
            <w:pPr>
              <w:spacing w:line="360" w:lineRule="auto"/>
              <w:jc w:val="center"/>
              <w:rPr>
                <w:rFonts w:ascii="宋体" w:hAnsi="宋体" w:cs="宋体"/>
                <w:color w:val="auto"/>
                <w:sz w:val="24"/>
                <w:szCs w:val="24"/>
                <w:highlight w:val="none"/>
              </w:rPr>
            </w:pPr>
          </w:p>
        </w:tc>
        <w:tc>
          <w:tcPr>
            <w:tcW w:w="1422" w:type="dxa"/>
          </w:tcPr>
          <w:p w14:paraId="0BEA459F">
            <w:pPr>
              <w:spacing w:line="360" w:lineRule="auto"/>
              <w:jc w:val="center"/>
              <w:rPr>
                <w:rFonts w:ascii="宋体" w:hAnsi="宋体" w:cs="宋体"/>
                <w:color w:val="auto"/>
                <w:sz w:val="24"/>
                <w:szCs w:val="24"/>
                <w:highlight w:val="none"/>
              </w:rPr>
            </w:pPr>
          </w:p>
        </w:tc>
        <w:tc>
          <w:tcPr>
            <w:tcW w:w="5925" w:type="dxa"/>
          </w:tcPr>
          <w:p w14:paraId="09C70F8D">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*13、</w:t>
            </w:r>
            <w:r>
              <w:rPr>
                <w:rFonts w:hint="eastAsia" w:cs="宋体" w:asciiTheme="minorEastAsia" w:hAnsiTheme="minorEastAsia" w:eastAsiaTheme="minorEastAsia"/>
                <w:b/>
                <w:bCs/>
                <w:color w:val="auto"/>
                <w:sz w:val="24"/>
                <w:szCs w:val="24"/>
                <w:highlight w:val="none"/>
              </w:rPr>
              <w:t>投标人承诺，在合同期内，同一机型维修次数超过</w:t>
            </w:r>
            <w:r>
              <w:rPr>
                <w:rFonts w:cs="宋体" w:asciiTheme="minorEastAsia" w:hAnsiTheme="minorEastAsia" w:eastAsiaTheme="minorEastAsia"/>
                <w:b/>
                <w:bCs/>
                <w:color w:val="auto"/>
                <w:sz w:val="24"/>
                <w:szCs w:val="24"/>
                <w:highlight w:val="none"/>
              </w:rPr>
              <w:t>2次，需免费更换同一型号新机，人为损坏除外。</w:t>
            </w:r>
          </w:p>
        </w:tc>
      </w:tr>
      <w:tr w14:paraId="0BD26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2307C5E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74</w:t>
            </w:r>
          </w:p>
        </w:tc>
        <w:tc>
          <w:tcPr>
            <w:tcW w:w="696" w:type="dxa"/>
          </w:tcPr>
          <w:p w14:paraId="29A57A3D">
            <w:pPr>
              <w:spacing w:line="360" w:lineRule="auto"/>
              <w:jc w:val="center"/>
              <w:rPr>
                <w:rFonts w:ascii="宋体" w:hAnsi="宋体" w:cs="宋体"/>
                <w:color w:val="auto"/>
                <w:sz w:val="24"/>
                <w:szCs w:val="24"/>
                <w:highlight w:val="none"/>
              </w:rPr>
            </w:pPr>
          </w:p>
        </w:tc>
        <w:tc>
          <w:tcPr>
            <w:tcW w:w="1422" w:type="dxa"/>
          </w:tcPr>
          <w:p w14:paraId="18BF6CBA">
            <w:pPr>
              <w:spacing w:line="360" w:lineRule="auto"/>
              <w:jc w:val="center"/>
              <w:rPr>
                <w:rFonts w:ascii="宋体" w:hAnsi="宋体" w:cs="宋体"/>
                <w:color w:val="auto"/>
                <w:sz w:val="24"/>
                <w:szCs w:val="24"/>
                <w:highlight w:val="none"/>
              </w:rPr>
            </w:pPr>
          </w:p>
        </w:tc>
        <w:tc>
          <w:tcPr>
            <w:tcW w:w="5925" w:type="dxa"/>
          </w:tcPr>
          <w:p w14:paraId="13D32228">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*14、投标人承诺，产品在每年6月-8月申领高峰期，必须按照要求供货，如出现供货逾期的情况，处罚金额为100元/台*</w:t>
            </w:r>
            <w:r>
              <w:rPr>
                <w:rFonts w:hint="eastAsia" w:asciiTheme="minorEastAsia" w:hAnsiTheme="minorEastAsia" w:eastAsiaTheme="minorEastAsia"/>
                <w:b/>
                <w:color w:val="auto"/>
                <w:sz w:val="24"/>
                <w:szCs w:val="24"/>
                <w:highlight w:val="none"/>
              </w:rPr>
              <w:t>逾期供货天数</w:t>
            </w:r>
            <w:r>
              <w:rPr>
                <w:rFonts w:asciiTheme="minorEastAsia" w:hAnsiTheme="minorEastAsia" w:eastAsiaTheme="minorEastAsia"/>
                <w:b/>
                <w:color w:val="auto"/>
                <w:sz w:val="24"/>
                <w:szCs w:val="24"/>
                <w:highlight w:val="none"/>
              </w:rPr>
              <w:t>,如</w:t>
            </w:r>
            <w:r>
              <w:rPr>
                <w:rFonts w:hint="eastAsia" w:asciiTheme="minorEastAsia" w:hAnsiTheme="minorEastAsia" w:eastAsiaTheme="minorEastAsia"/>
                <w:b/>
                <w:color w:val="auto"/>
                <w:sz w:val="24"/>
                <w:szCs w:val="24"/>
                <w:highlight w:val="none"/>
              </w:rPr>
              <w:t>逾期供货天数≥</w:t>
            </w:r>
            <w:r>
              <w:rPr>
                <w:rFonts w:asciiTheme="minorEastAsia" w:hAnsiTheme="minorEastAsia" w:eastAsiaTheme="minorEastAsia"/>
                <w:b/>
                <w:color w:val="auto"/>
                <w:sz w:val="24"/>
                <w:szCs w:val="24"/>
                <w:highlight w:val="none"/>
              </w:rPr>
              <w:t>10天，罚款金额为200元/台*（</w:t>
            </w:r>
            <w:r>
              <w:rPr>
                <w:rFonts w:hint="eastAsia" w:asciiTheme="minorEastAsia" w:hAnsiTheme="minorEastAsia" w:eastAsiaTheme="minorEastAsia"/>
                <w:b/>
                <w:color w:val="auto"/>
                <w:sz w:val="24"/>
                <w:szCs w:val="24"/>
                <w:highlight w:val="none"/>
              </w:rPr>
              <w:t>逾期供货天数</w:t>
            </w:r>
            <w:r>
              <w:rPr>
                <w:rFonts w:asciiTheme="minorEastAsia" w:hAnsiTheme="minorEastAsia" w:eastAsiaTheme="minorEastAsia"/>
                <w:b/>
                <w:color w:val="auto"/>
                <w:sz w:val="24"/>
                <w:szCs w:val="24"/>
                <w:highlight w:val="none"/>
              </w:rPr>
              <w:t>-10）。</w:t>
            </w:r>
          </w:p>
        </w:tc>
      </w:tr>
      <w:tr w14:paraId="43262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2AF0151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75</w:t>
            </w:r>
          </w:p>
        </w:tc>
        <w:tc>
          <w:tcPr>
            <w:tcW w:w="696" w:type="dxa"/>
          </w:tcPr>
          <w:p w14:paraId="123C111B">
            <w:pPr>
              <w:spacing w:line="360" w:lineRule="auto"/>
              <w:jc w:val="center"/>
              <w:rPr>
                <w:rFonts w:ascii="宋体" w:hAnsi="宋体" w:cs="宋体"/>
                <w:color w:val="auto"/>
                <w:sz w:val="24"/>
                <w:szCs w:val="24"/>
                <w:highlight w:val="none"/>
              </w:rPr>
            </w:pPr>
          </w:p>
        </w:tc>
        <w:tc>
          <w:tcPr>
            <w:tcW w:w="1422" w:type="dxa"/>
          </w:tcPr>
          <w:p w14:paraId="510E2DBC">
            <w:pPr>
              <w:spacing w:line="360" w:lineRule="auto"/>
              <w:jc w:val="center"/>
              <w:rPr>
                <w:rFonts w:ascii="宋体" w:hAnsi="宋体" w:cs="宋体"/>
                <w:color w:val="auto"/>
                <w:sz w:val="24"/>
                <w:szCs w:val="24"/>
                <w:highlight w:val="none"/>
              </w:rPr>
            </w:pPr>
          </w:p>
        </w:tc>
        <w:tc>
          <w:tcPr>
            <w:tcW w:w="5925" w:type="dxa"/>
          </w:tcPr>
          <w:p w14:paraId="036CD023">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*15、如最终使用单位数据线（</w:t>
            </w:r>
            <w:r>
              <w:rPr>
                <w:rFonts w:hint="eastAsia" w:asciiTheme="minorEastAsia" w:hAnsiTheme="minorEastAsia" w:eastAsiaTheme="minorEastAsia"/>
                <w:b/>
                <w:color w:val="auto"/>
                <w:sz w:val="24"/>
                <w:szCs w:val="24"/>
                <w:highlight w:val="none"/>
              </w:rPr>
              <w:t>标配</w:t>
            </w:r>
            <w:r>
              <w:rPr>
                <w:rFonts w:asciiTheme="minorEastAsia" w:hAnsiTheme="minorEastAsia" w:eastAsiaTheme="minorEastAsia"/>
                <w:b/>
                <w:color w:val="auto"/>
                <w:sz w:val="24"/>
                <w:szCs w:val="24"/>
                <w:highlight w:val="none"/>
              </w:rPr>
              <w:t>1.5米）不够，需免费提供保证设备可正常使用所需长度数据线，具体根据实际现场需求提供符合设备所需相应长度数据线（需提供整条数据线，不接受多条拼接线。)</w:t>
            </w:r>
          </w:p>
        </w:tc>
      </w:tr>
      <w:tr w14:paraId="7BE5F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42958B9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76</w:t>
            </w:r>
          </w:p>
        </w:tc>
        <w:tc>
          <w:tcPr>
            <w:tcW w:w="696" w:type="dxa"/>
          </w:tcPr>
          <w:p w14:paraId="6203B1A1">
            <w:pPr>
              <w:spacing w:line="360" w:lineRule="auto"/>
              <w:jc w:val="center"/>
              <w:rPr>
                <w:rFonts w:ascii="宋体" w:hAnsi="宋体" w:cs="宋体"/>
                <w:color w:val="auto"/>
                <w:sz w:val="24"/>
                <w:szCs w:val="24"/>
                <w:highlight w:val="none"/>
              </w:rPr>
            </w:pPr>
          </w:p>
        </w:tc>
        <w:tc>
          <w:tcPr>
            <w:tcW w:w="1422" w:type="dxa"/>
          </w:tcPr>
          <w:p w14:paraId="15B71040">
            <w:pPr>
              <w:spacing w:line="360" w:lineRule="auto"/>
              <w:jc w:val="center"/>
              <w:rPr>
                <w:rFonts w:ascii="宋体" w:hAnsi="宋体" w:cs="宋体"/>
                <w:color w:val="auto"/>
                <w:sz w:val="24"/>
                <w:szCs w:val="24"/>
                <w:highlight w:val="none"/>
              </w:rPr>
            </w:pPr>
          </w:p>
        </w:tc>
        <w:tc>
          <w:tcPr>
            <w:tcW w:w="5925" w:type="dxa"/>
          </w:tcPr>
          <w:p w14:paraId="2FC363D3">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*16、投标人承诺，如果中标，因投标人产品给采购单位造成的客诉，若投标人在接到采购单位通知后3个日历日内无法解决客诉，</w:t>
            </w:r>
            <w:r>
              <w:rPr>
                <w:rFonts w:hint="eastAsia" w:asciiTheme="minorEastAsia" w:hAnsiTheme="minorEastAsia" w:eastAsiaTheme="minorEastAsia"/>
                <w:b/>
                <w:color w:val="auto"/>
                <w:sz w:val="24"/>
                <w:szCs w:val="24"/>
                <w:highlight w:val="none"/>
              </w:rPr>
              <w:t>采购单位有权自行解决客诉，并直接于投标人的履约保证金中扣除解决客诉所产生的费用。该条款可能造成的成本费用包含在投标人的产品报价中。如使用单位开箱后遇到设备与使用单位的软件不兼容的情况，中标供应商同意无条件退货。</w:t>
            </w:r>
          </w:p>
        </w:tc>
      </w:tr>
      <w:tr w14:paraId="00EFC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1042E0D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77</w:t>
            </w:r>
          </w:p>
        </w:tc>
        <w:tc>
          <w:tcPr>
            <w:tcW w:w="696" w:type="dxa"/>
          </w:tcPr>
          <w:p w14:paraId="41673439">
            <w:pPr>
              <w:spacing w:line="360" w:lineRule="auto"/>
              <w:jc w:val="center"/>
              <w:rPr>
                <w:rFonts w:ascii="宋体" w:hAnsi="宋体" w:cs="宋体"/>
                <w:color w:val="auto"/>
                <w:sz w:val="24"/>
                <w:szCs w:val="24"/>
                <w:highlight w:val="none"/>
              </w:rPr>
            </w:pPr>
          </w:p>
        </w:tc>
        <w:tc>
          <w:tcPr>
            <w:tcW w:w="1422" w:type="dxa"/>
          </w:tcPr>
          <w:p w14:paraId="236BEB45">
            <w:pPr>
              <w:spacing w:line="360" w:lineRule="auto"/>
              <w:jc w:val="center"/>
              <w:rPr>
                <w:rFonts w:ascii="宋体" w:hAnsi="宋体" w:cs="宋体"/>
                <w:color w:val="auto"/>
                <w:sz w:val="24"/>
                <w:szCs w:val="24"/>
                <w:highlight w:val="none"/>
              </w:rPr>
            </w:pPr>
          </w:p>
        </w:tc>
        <w:tc>
          <w:tcPr>
            <w:tcW w:w="5925" w:type="dxa"/>
          </w:tcPr>
          <w:p w14:paraId="63D1D7D2">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*17、投标人承诺待合同终止后的30天内根据</w:t>
            </w:r>
            <w:r>
              <w:rPr>
                <w:rFonts w:hint="eastAsia" w:asciiTheme="minorEastAsia" w:hAnsiTheme="minorEastAsia" w:eastAsiaTheme="minorEastAsia"/>
                <w:b/>
                <w:color w:val="auto"/>
                <w:sz w:val="24"/>
                <w:szCs w:val="24"/>
                <w:highlight w:val="none"/>
              </w:rPr>
              <w:t>采购单位要求按合同原中标价回购采购单位剩余的库存高拍仪产品且回购总金额不高于合同总金额的</w:t>
            </w:r>
            <w:r>
              <w:rPr>
                <w:rFonts w:asciiTheme="minorEastAsia" w:hAnsiTheme="minorEastAsia" w:eastAsiaTheme="minorEastAsia"/>
                <w:b/>
                <w:color w:val="auto"/>
                <w:sz w:val="24"/>
                <w:szCs w:val="24"/>
                <w:highlight w:val="none"/>
              </w:rPr>
              <w:t>3%，</w:t>
            </w:r>
            <w:r>
              <w:rPr>
                <w:rFonts w:hint="eastAsia" w:asciiTheme="minorEastAsia" w:hAnsiTheme="minorEastAsia" w:eastAsiaTheme="minorEastAsia"/>
                <w:b/>
                <w:color w:val="auto"/>
                <w:sz w:val="24"/>
                <w:szCs w:val="24"/>
                <w:highlight w:val="none"/>
              </w:rPr>
              <w:t>投标人回购的付款方式为先款后货。若投标人未在规定的期限内完成上述回购的，采购单位有权从投标人的货款或履约保证金中扣除相应的回购款项。</w:t>
            </w:r>
          </w:p>
        </w:tc>
      </w:tr>
      <w:tr w14:paraId="342F4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079BCF4B">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78</w:t>
            </w:r>
          </w:p>
        </w:tc>
        <w:tc>
          <w:tcPr>
            <w:tcW w:w="696" w:type="dxa"/>
          </w:tcPr>
          <w:p w14:paraId="48D35D07">
            <w:pPr>
              <w:spacing w:line="360" w:lineRule="auto"/>
              <w:jc w:val="center"/>
              <w:rPr>
                <w:rFonts w:ascii="宋体" w:hAnsi="宋体" w:cs="宋体"/>
                <w:color w:val="auto"/>
                <w:sz w:val="24"/>
                <w:szCs w:val="24"/>
                <w:highlight w:val="none"/>
              </w:rPr>
            </w:pPr>
          </w:p>
        </w:tc>
        <w:tc>
          <w:tcPr>
            <w:tcW w:w="1422" w:type="dxa"/>
          </w:tcPr>
          <w:p w14:paraId="2DE7524A">
            <w:pPr>
              <w:spacing w:line="360" w:lineRule="auto"/>
              <w:jc w:val="center"/>
              <w:rPr>
                <w:rFonts w:ascii="宋体" w:hAnsi="宋体" w:cs="宋体"/>
                <w:color w:val="auto"/>
                <w:sz w:val="24"/>
                <w:szCs w:val="24"/>
                <w:highlight w:val="none"/>
              </w:rPr>
            </w:pPr>
          </w:p>
        </w:tc>
        <w:tc>
          <w:tcPr>
            <w:tcW w:w="5925" w:type="dxa"/>
          </w:tcPr>
          <w:p w14:paraId="012A347A">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*18、品目号1-1和1-2产品必须满足开机自动聚焦，达到最佳展示效果，不会随着光线环境变化物体移动而多次自动聚焦造成展示模糊，</w:t>
            </w:r>
            <w:r>
              <w:rPr>
                <w:rFonts w:hint="eastAsia" w:asciiTheme="minorEastAsia" w:hAnsiTheme="minorEastAsia" w:eastAsiaTheme="minorEastAsia"/>
                <w:b/>
                <w:color w:val="auto"/>
                <w:sz w:val="24"/>
                <w:szCs w:val="24"/>
                <w:highlight w:val="none"/>
              </w:rPr>
              <w:t>如展示不同高低大小物体，可以自由切换对焦方式达到最佳展示效果。</w:t>
            </w:r>
          </w:p>
        </w:tc>
      </w:tr>
      <w:tr w14:paraId="5555A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20886D6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79</w:t>
            </w:r>
          </w:p>
        </w:tc>
        <w:tc>
          <w:tcPr>
            <w:tcW w:w="696" w:type="dxa"/>
          </w:tcPr>
          <w:p w14:paraId="6BF67127">
            <w:pPr>
              <w:spacing w:line="360" w:lineRule="auto"/>
              <w:jc w:val="center"/>
              <w:rPr>
                <w:rFonts w:ascii="宋体" w:hAnsi="宋体" w:cs="宋体"/>
                <w:color w:val="auto"/>
                <w:sz w:val="24"/>
                <w:szCs w:val="24"/>
                <w:highlight w:val="none"/>
              </w:rPr>
            </w:pPr>
          </w:p>
        </w:tc>
        <w:tc>
          <w:tcPr>
            <w:tcW w:w="1422" w:type="dxa"/>
          </w:tcPr>
          <w:p w14:paraId="63757CAB">
            <w:pPr>
              <w:spacing w:line="360" w:lineRule="auto"/>
              <w:jc w:val="center"/>
              <w:rPr>
                <w:rFonts w:ascii="宋体" w:hAnsi="宋体" w:cs="宋体"/>
                <w:color w:val="auto"/>
                <w:sz w:val="24"/>
                <w:szCs w:val="24"/>
                <w:highlight w:val="none"/>
              </w:rPr>
            </w:pPr>
          </w:p>
        </w:tc>
        <w:tc>
          <w:tcPr>
            <w:tcW w:w="5925" w:type="dxa"/>
          </w:tcPr>
          <w:p w14:paraId="16DEA196">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*19、付款方式与条件：货</w:t>
            </w:r>
            <w:r>
              <w:rPr>
                <w:rFonts w:hint="eastAsia" w:asciiTheme="minorEastAsia" w:hAnsiTheme="minorEastAsia" w:eastAsiaTheme="minorEastAsia"/>
                <w:b/>
                <w:color w:val="auto"/>
                <w:sz w:val="24"/>
                <w:szCs w:val="24"/>
                <w:highlight w:val="none"/>
              </w:rPr>
              <w:t>到且票到后</w:t>
            </w:r>
            <w:r>
              <w:rPr>
                <w:rFonts w:asciiTheme="minorEastAsia" w:hAnsiTheme="minorEastAsia" w:eastAsiaTheme="minorEastAsia"/>
                <w:b/>
                <w:color w:val="auto"/>
                <w:sz w:val="24"/>
                <w:szCs w:val="24"/>
                <w:highlight w:val="none"/>
              </w:rPr>
              <w:t>6个月内向</w:t>
            </w:r>
            <w:r>
              <w:rPr>
                <w:rFonts w:hint="eastAsia" w:asciiTheme="minorEastAsia" w:hAnsiTheme="minorEastAsia" w:eastAsiaTheme="minorEastAsia"/>
                <w:b/>
                <w:color w:val="auto"/>
                <w:sz w:val="24"/>
                <w:szCs w:val="24"/>
                <w:highlight w:val="none"/>
              </w:rPr>
              <w:t>中标供应商一次性支付该批次货款的</w:t>
            </w:r>
            <w:r>
              <w:rPr>
                <w:rFonts w:asciiTheme="minorEastAsia" w:hAnsiTheme="minorEastAsia" w:eastAsiaTheme="minorEastAsia"/>
                <w:b/>
                <w:color w:val="auto"/>
                <w:sz w:val="24"/>
                <w:szCs w:val="24"/>
                <w:highlight w:val="none"/>
              </w:rPr>
              <w:t>100%。</w:t>
            </w:r>
          </w:p>
        </w:tc>
      </w:tr>
      <w:tr w14:paraId="00BCF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61611F0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80</w:t>
            </w:r>
          </w:p>
        </w:tc>
        <w:tc>
          <w:tcPr>
            <w:tcW w:w="696" w:type="dxa"/>
          </w:tcPr>
          <w:p w14:paraId="6D57F389">
            <w:pPr>
              <w:spacing w:line="360" w:lineRule="auto"/>
              <w:jc w:val="center"/>
              <w:rPr>
                <w:rFonts w:ascii="宋体" w:hAnsi="宋体" w:cs="宋体"/>
                <w:color w:val="auto"/>
                <w:sz w:val="24"/>
                <w:szCs w:val="24"/>
                <w:highlight w:val="none"/>
              </w:rPr>
            </w:pPr>
          </w:p>
        </w:tc>
        <w:tc>
          <w:tcPr>
            <w:tcW w:w="1422" w:type="dxa"/>
          </w:tcPr>
          <w:p w14:paraId="7B5968CF">
            <w:pPr>
              <w:spacing w:line="360" w:lineRule="auto"/>
              <w:jc w:val="center"/>
              <w:rPr>
                <w:rFonts w:ascii="宋体" w:hAnsi="宋体" w:cs="宋体"/>
                <w:color w:val="auto"/>
                <w:sz w:val="24"/>
                <w:szCs w:val="24"/>
                <w:highlight w:val="none"/>
              </w:rPr>
            </w:pPr>
          </w:p>
        </w:tc>
        <w:tc>
          <w:tcPr>
            <w:tcW w:w="5925" w:type="dxa"/>
          </w:tcPr>
          <w:p w14:paraId="18FFA7D4">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*20、</w:t>
            </w:r>
            <w:r>
              <w:rPr>
                <w:rFonts w:hint="eastAsia" w:cs="仿宋" w:asciiTheme="minorEastAsia" w:hAnsiTheme="minorEastAsia" w:eastAsiaTheme="minorEastAsia"/>
                <w:b/>
                <w:color w:val="auto"/>
                <w:sz w:val="24"/>
                <w:szCs w:val="24"/>
                <w:highlight w:val="none"/>
              </w:rPr>
              <w:t>投标人承诺如最终使用单位需要防护垫或者防撞条，需免费提供，满足最终使用单位需求。</w:t>
            </w:r>
          </w:p>
        </w:tc>
      </w:tr>
      <w:tr w14:paraId="70EF9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4DBB92F0">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81</w:t>
            </w:r>
          </w:p>
        </w:tc>
        <w:tc>
          <w:tcPr>
            <w:tcW w:w="696" w:type="dxa"/>
          </w:tcPr>
          <w:p w14:paraId="65CB10F3">
            <w:pPr>
              <w:spacing w:line="360" w:lineRule="auto"/>
              <w:jc w:val="center"/>
              <w:rPr>
                <w:rFonts w:ascii="宋体" w:hAnsi="宋体" w:cs="宋体"/>
                <w:color w:val="auto"/>
                <w:sz w:val="24"/>
                <w:szCs w:val="24"/>
                <w:highlight w:val="none"/>
              </w:rPr>
            </w:pPr>
          </w:p>
        </w:tc>
        <w:tc>
          <w:tcPr>
            <w:tcW w:w="1422" w:type="dxa"/>
          </w:tcPr>
          <w:p w14:paraId="2B8BC38C">
            <w:pPr>
              <w:spacing w:line="360" w:lineRule="auto"/>
              <w:jc w:val="center"/>
              <w:rPr>
                <w:rFonts w:ascii="宋体" w:hAnsi="宋体" w:cs="宋体"/>
                <w:color w:val="auto"/>
                <w:sz w:val="24"/>
                <w:szCs w:val="24"/>
                <w:highlight w:val="none"/>
              </w:rPr>
            </w:pPr>
          </w:p>
        </w:tc>
        <w:tc>
          <w:tcPr>
            <w:tcW w:w="5925" w:type="dxa"/>
          </w:tcPr>
          <w:p w14:paraId="47071046">
            <w:pPr>
              <w:widowControl/>
              <w:spacing w:line="360" w:lineRule="auto"/>
              <w:jc w:val="left"/>
              <w:rPr>
                <w:rFonts w:asciiTheme="minorEastAsia" w:hAnsiTheme="minorEastAsia" w:eastAsiaTheme="minorEastAsia"/>
                <w:b/>
                <w:color w:val="auto"/>
                <w:sz w:val="24"/>
                <w:szCs w:val="24"/>
                <w:highlight w:val="none"/>
              </w:rPr>
            </w:pPr>
            <w:r>
              <w:rPr>
                <w:rFonts w:asciiTheme="minorEastAsia" w:hAnsiTheme="minorEastAsia" w:eastAsiaTheme="minorEastAsia"/>
                <w:b/>
                <w:color w:val="auto"/>
                <w:sz w:val="24"/>
                <w:szCs w:val="24"/>
                <w:highlight w:val="none"/>
              </w:rPr>
              <w:t>*21、</w:t>
            </w:r>
            <w:r>
              <w:rPr>
                <w:rFonts w:hint="eastAsia" w:cs="仿宋" w:asciiTheme="minorEastAsia" w:hAnsiTheme="minorEastAsia" w:eastAsiaTheme="minorEastAsia"/>
                <w:b/>
                <w:color w:val="auto"/>
                <w:sz w:val="24"/>
                <w:szCs w:val="24"/>
                <w:highlight w:val="none"/>
              </w:rPr>
              <w:t>投标人承诺品目号</w:t>
            </w:r>
            <w:r>
              <w:rPr>
                <w:rFonts w:cs="仿宋" w:asciiTheme="minorEastAsia" w:hAnsiTheme="minorEastAsia" w:eastAsiaTheme="minorEastAsia"/>
                <w:b/>
                <w:color w:val="auto"/>
                <w:sz w:val="24"/>
                <w:szCs w:val="24"/>
                <w:highlight w:val="none"/>
              </w:rPr>
              <w:t xml:space="preserve">1-4内置二代身份证阅读器(内置全新公安部标准身份证读卡模块为最新），即出厂日期为2023 </w:t>
            </w:r>
            <w:r>
              <w:rPr>
                <w:rFonts w:hint="eastAsia" w:cs="仿宋" w:asciiTheme="minorEastAsia" w:hAnsiTheme="minorEastAsia" w:eastAsiaTheme="minorEastAsia"/>
                <w:b/>
                <w:color w:val="auto"/>
                <w:sz w:val="24"/>
                <w:szCs w:val="24"/>
                <w:highlight w:val="none"/>
              </w:rPr>
              <w:t>年。</w:t>
            </w:r>
          </w:p>
        </w:tc>
      </w:tr>
      <w:tr w14:paraId="0EAF2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14:paraId="340FD5F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82</w:t>
            </w:r>
          </w:p>
        </w:tc>
        <w:tc>
          <w:tcPr>
            <w:tcW w:w="696" w:type="dxa"/>
          </w:tcPr>
          <w:p w14:paraId="5A4D7D95">
            <w:pPr>
              <w:spacing w:line="360" w:lineRule="auto"/>
              <w:jc w:val="center"/>
              <w:rPr>
                <w:rFonts w:ascii="宋体" w:hAnsi="宋体" w:cs="宋体"/>
                <w:color w:val="auto"/>
                <w:sz w:val="24"/>
                <w:szCs w:val="24"/>
                <w:highlight w:val="none"/>
              </w:rPr>
            </w:pPr>
          </w:p>
        </w:tc>
        <w:tc>
          <w:tcPr>
            <w:tcW w:w="1422" w:type="dxa"/>
          </w:tcPr>
          <w:p w14:paraId="40A61EB8">
            <w:pPr>
              <w:spacing w:line="360" w:lineRule="auto"/>
              <w:jc w:val="center"/>
              <w:rPr>
                <w:rFonts w:ascii="宋体" w:hAnsi="宋体" w:cs="宋体"/>
                <w:color w:val="auto"/>
                <w:sz w:val="24"/>
                <w:szCs w:val="24"/>
                <w:highlight w:val="none"/>
              </w:rPr>
            </w:pPr>
          </w:p>
        </w:tc>
        <w:tc>
          <w:tcPr>
            <w:tcW w:w="5925" w:type="dxa"/>
          </w:tcPr>
          <w:p w14:paraId="2DDBD2B2">
            <w:pPr>
              <w:widowControl/>
              <w:spacing w:line="360" w:lineRule="auto"/>
              <w:jc w:val="left"/>
              <w:rPr>
                <w:rFonts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*22、若中标供应商未在规定时间内向采购单位支付安装及维保费用的，需支付该笔安装</w:t>
            </w:r>
            <w:r>
              <w:rPr>
                <w:rFonts w:hint="eastAsia" w:cs="仿宋" w:asciiTheme="minorEastAsia" w:hAnsiTheme="minorEastAsia" w:eastAsiaTheme="minorEastAsia"/>
                <w:b/>
                <w:color w:val="auto"/>
                <w:sz w:val="24"/>
                <w:szCs w:val="24"/>
                <w:highlight w:val="none"/>
              </w:rPr>
              <w:t>及维保款项</w:t>
            </w:r>
            <w:r>
              <w:rPr>
                <w:rFonts w:cs="仿宋" w:asciiTheme="minorEastAsia" w:hAnsiTheme="minorEastAsia" w:eastAsiaTheme="minorEastAsia"/>
                <w:b/>
                <w:color w:val="auto"/>
                <w:sz w:val="24"/>
                <w:szCs w:val="24"/>
                <w:highlight w:val="none"/>
              </w:rPr>
              <w:t>0.5%的逾期违约金，且采购单位有权直接从中标供应商的履约保证金中扣除。</w:t>
            </w:r>
          </w:p>
        </w:tc>
      </w:tr>
      <w:tr w14:paraId="563F4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tcPr>
          <w:p w14:paraId="34DAA6A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83</w:t>
            </w:r>
          </w:p>
        </w:tc>
        <w:tc>
          <w:tcPr>
            <w:tcW w:w="696" w:type="dxa"/>
            <w:tcBorders>
              <w:bottom w:val="single" w:color="auto" w:sz="4" w:space="0"/>
            </w:tcBorders>
          </w:tcPr>
          <w:p w14:paraId="2C6FD263">
            <w:pPr>
              <w:spacing w:line="360" w:lineRule="auto"/>
              <w:jc w:val="center"/>
              <w:rPr>
                <w:rFonts w:ascii="宋体" w:hAnsi="宋体" w:cs="宋体"/>
                <w:color w:val="auto"/>
                <w:sz w:val="24"/>
                <w:szCs w:val="24"/>
                <w:highlight w:val="none"/>
              </w:rPr>
            </w:pPr>
          </w:p>
        </w:tc>
        <w:tc>
          <w:tcPr>
            <w:tcW w:w="1422" w:type="dxa"/>
            <w:tcBorders>
              <w:bottom w:val="single" w:color="auto" w:sz="4" w:space="0"/>
            </w:tcBorders>
          </w:tcPr>
          <w:p w14:paraId="3EFFA095">
            <w:pPr>
              <w:spacing w:line="360" w:lineRule="auto"/>
              <w:jc w:val="center"/>
              <w:rPr>
                <w:rFonts w:ascii="宋体" w:hAnsi="宋体" w:cs="宋体"/>
                <w:color w:val="auto"/>
                <w:sz w:val="24"/>
                <w:szCs w:val="24"/>
                <w:highlight w:val="none"/>
              </w:rPr>
            </w:pPr>
          </w:p>
        </w:tc>
        <w:tc>
          <w:tcPr>
            <w:tcW w:w="5925" w:type="dxa"/>
            <w:tcBorders>
              <w:bottom w:val="single" w:color="auto" w:sz="4" w:space="0"/>
            </w:tcBorders>
          </w:tcPr>
          <w:p w14:paraId="2D0108E4">
            <w:pPr>
              <w:widowControl/>
              <w:spacing w:line="360" w:lineRule="auto"/>
              <w:jc w:val="left"/>
              <w:rPr>
                <w:rFonts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*23、供货时间：</w:t>
            </w:r>
            <w:r>
              <w:rPr>
                <w:rFonts w:hint="eastAsia" w:ascii="宋体" w:hAnsi="宋体" w:cs="宋体"/>
                <w:b/>
                <w:bCs/>
                <w:color w:val="auto"/>
                <w:sz w:val="24"/>
                <w:szCs w:val="24"/>
                <w:highlight w:val="none"/>
              </w:rPr>
              <w:t>≤</w:t>
            </w:r>
            <w:r>
              <w:rPr>
                <w:rFonts w:cs="仿宋" w:asciiTheme="minorEastAsia" w:hAnsiTheme="minorEastAsia" w:eastAsiaTheme="minorEastAsia"/>
                <w:b/>
                <w:color w:val="auto"/>
                <w:sz w:val="24"/>
                <w:szCs w:val="24"/>
                <w:highlight w:val="none"/>
              </w:rPr>
              <w:t>10个日历日。</w:t>
            </w:r>
          </w:p>
        </w:tc>
      </w:tr>
    </w:tbl>
    <w:p w14:paraId="029D0F4D">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备注：由于编排顺序混乱而导致投标文件被误读或漏读，该投标人的投标可能被视为无效投标或承担不利的评标结果。</w:t>
      </w:r>
    </w:p>
    <w:p w14:paraId="1979CC5E">
      <w:pPr>
        <w:spacing w:line="360" w:lineRule="auto"/>
        <w:rPr>
          <w:rFonts w:ascii="宋体" w:hAnsi="宋体" w:cs="宋体"/>
          <w:bCs/>
          <w:color w:val="auto"/>
          <w:sz w:val="24"/>
          <w:szCs w:val="24"/>
          <w:highlight w:val="none"/>
        </w:rPr>
      </w:pPr>
    </w:p>
    <w:p w14:paraId="4B42EADD">
      <w:pPr>
        <w:spacing w:line="360" w:lineRule="auto"/>
        <w:rPr>
          <w:rFonts w:ascii="宋体" w:hAnsi="宋体" w:cs="宋体"/>
          <w:bCs/>
          <w:color w:val="auto"/>
          <w:sz w:val="24"/>
          <w:szCs w:val="24"/>
          <w:highlight w:val="none"/>
        </w:rPr>
      </w:pPr>
    </w:p>
    <w:p w14:paraId="16D073A6">
      <w:pPr>
        <w:spacing w:line="360" w:lineRule="auto"/>
        <w:rPr>
          <w:rFonts w:ascii="宋体" w:hAnsi="宋体" w:cs="宋体"/>
          <w:bCs/>
          <w:color w:val="auto"/>
          <w:sz w:val="24"/>
          <w:szCs w:val="24"/>
          <w:highlight w:val="none"/>
        </w:rPr>
      </w:pPr>
    </w:p>
    <w:p w14:paraId="39F302C4">
      <w:pPr>
        <w:spacing w:line="360" w:lineRule="auto"/>
        <w:rPr>
          <w:rFonts w:ascii="宋体" w:hAnsi="宋体" w:cs="宋体"/>
          <w:bCs/>
          <w:color w:val="auto"/>
          <w:sz w:val="24"/>
          <w:szCs w:val="24"/>
          <w:highlight w:val="none"/>
        </w:rPr>
      </w:pPr>
    </w:p>
    <w:p w14:paraId="3EB63B3A">
      <w:pPr>
        <w:spacing w:line="360" w:lineRule="auto"/>
        <w:rPr>
          <w:rFonts w:ascii="宋体" w:hAnsi="宋体" w:cs="宋体"/>
          <w:bCs/>
          <w:color w:val="auto"/>
          <w:sz w:val="24"/>
          <w:szCs w:val="24"/>
          <w:highlight w:val="none"/>
        </w:rPr>
      </w:pPr>
    </w:p>
    <w:p w14:paraId="3C006BDA">
      <w:pPr>
        <w:spacing w:line="360" w:lineRule="auto"/>
        <w:rPr>
          <w:rFonts w:ascii="宋体" w:hAnsi="宋体" w:cs="宋体"/>
          <w:bCs/>
          <w:color w:val="auto"/>
          <w:sz w:val="24"/>
          <w:szCs w:val="24"/>
          <w:highlight w:val="none"/>
        </w:rPr>
      </w:pPr>
    </w:p>
    <w:p w14:paraId="4DB3894E">
      <w:pPr>
        <w:spacing w:line="360" w:lineRule="auto"/>
        <w:ind w:firstLine="320" w:firstLineChars="100"/>
        <w:jc w:val="both"/>
        <w:rPr>
          <w:rFonts w:hint="eastAsia" w:ascii="宋体" w:hAnsi="宋体" w:cs="宋体"/>
          <w:color w:val="auto"/>
          <w:sz w:val="32"/>
          <w:szCs w:val="32"/>
          <w:highlight w:val="none"/>
        </w:rPr>
      </w:pPr>
    </w:p>
    <w:p w14:paraId="0665C74E">
      <w:pPr>
        <w:spacing w:line="360" w:lineRule="auto"/>
        <w:ind w:firstLine="320" w:firstLineChars="100"/>
        <w:jc w:val="both"/>
        <w:rPr>
          <w:rFonts w:ascii="宋体" w:hAnsi="宋体" w:cs="宋体"/>
          <w:b/>
          <w:color w:val="auto"/>
          <w:sz w:val="32"/>
          <w:szCs w:val="32"/>
          <w:highlight w:val="none"/>
          <w:u w:val="single"/>
        </w:rPr>
      </w:pPr>
      <w:r>
        <w:rPr>
          <w:rFonts w:hint="eastAsia" w:ascii="宋体" w:hAnsi="宋体" w:cs="宋体"/>
          <w:color w:val="auto"/>
          <w:sz w:val="32"/>
          <w:szCs w:val="32"/>
          <w:highlight w:val="none"/>
        </w:rPr>
        <w:t>投标人须知前附表3：评标方法、评标标准、定标原则</w:t>
      </w:r>
    </w:p>
    <w:tbl>
      <w:tblPr>
        <w:tblStyle w:val="1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13362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00" w:type="dxa"/>
            <w:tcBorders>
              <w:top w:val="single" w:color="auto" w:sz="4" w:space="0"/>
              <w:left w:val="single" w:color="auto" w:sz="4" w:space="0"/>
              <w:bottom w:val="single" w:color="auto" w:sz="4" w:space="0"/>
              <w:right w:val="single" w:color="auto" w:sz="4" w:space="0"/>
            </w:tcBorders>
          </w:tcPr>
          <w:p w14:paraId="4335439E">
            <w:pPr>
              <w:pStyle w:val="4"/>
              <w:numPr>
                <w:ilvl w:val="0"/>
                <w:numId w:val="1"/>
              </w:numPr>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评标方法：</w:t>
            </w:r>
          </w:p>
          <w:p w14:paraId="21CDDA7B">
            <w:pPr>
              <w:pStyle w:val="4"/>
              <w:snapToGrid w:val="0"/>
              <w:spacing w:line="360" w:lineRule="auto"/>
              <w:ind w:left="480" w:firstLine="0"/>
              <w:rPr>
                <w:rFonts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 xml:space="preserve"> 综合评分法  □ 最低评标价法  </w:t>
            </w:r>
          </w:p>
        </w:tc>
      </w:tr>
      <w:tr w14:paraId="168BE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tcPr>
          <w:p w14:paraId="71C18F7A">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二、评标标准：</w:t>
            </w:r>
          </w:p>
          <w:p w14:paraId="3C74E953">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（一）具体的评标标准、权重。</w:t>
            </w:r>
          </w:p>
          <w:p w14:paraId="4F37EBF0">
            <w:pPr>
              <w:pStyle w:val="4"/>
              <w:snapToGrid w:val="0"/>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详见附件</w:t>
            </w:r>
          </w:p>
          <w:p w14:paraId="17B074E6">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（二）推荐中标候选供应商名单。</w:t>
            </w:r>
          </w:p>
          <w:p w14:paraId="2D41FDDA">
            <w:pPr>
              <w:pStyle w:val="4"/>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1、中标候选供应商数量：</w:t>
            </w:r>
            <w:r>
              <w:rPr>
                <w:rFonts w:hint="eastAsia" w:ascii="宋体" w:hAnsi="宋体" w:cs="宋体"/>
                <w:color w:val="auto"/>
                <w:sz w:val="24"/>
                <w:szCs w:val="24"/>
                <w:highlight w:val="none"/>
                <w:u w:val="single"/>
              </w:rPr>
              <w:t xml:space="preserve"> 3</w:t>
            </w:r>
            <w:r>
              <w:rPr>
                <w:rFonts w:hint="eastAsia" w:ascii="宋体" w:hAnsi="宋体" w:cs="宋体"/>
                <w:color w:val="auto"/>
                <w:sz w:val="24"/>
                <w:szCs w:val="24"/>
                <w:highlight w:val="none"/>
              </w:rPr>
              <w:t>个。</w:t>
            </w:r>
          </w:p>
          <w:p w14:paraId="382B0C28">
            <w:pPr>
              <w:pStyle w:val="4"/>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7CDE9810">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 xml:space="preserve">    □采用最低评标价法的，按投标报价由低到高顺序排列。投标报价相同的，按技术指标优劣顺序排列。</w:t>
            </w:r>
          </w:p>
          <w:p w14:paraId="0449EE04">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169B17A8">
            <w:pPr>
              <w:pStyle w:val="4"/>
              <w:snapToGrid w:val="0"/>
              <w:spacing w:line="360" w:lineRule="auto"/>
              <w:ind w:firstLineChars="175"/>
              <w:rPr>
                <w:rFonts w:ascii="宋体" w:hAnsi="宋体" w:cs="宋体"/>
                <w:color w:val="auto"/>
                <w:sz w:val="24"/>
                <w:szCs w:val="24"/>
                <w:highlight w:val="none"/>
              </w:rPr>
            </w:pPr>
            <w:r>
              <w:rPr>
                <w:rFonts w:hint="eastAsia" w:ascii="宋体" w:hAnsi="宋体" w:cs="宋体"/>
                <w:color w:val="auto"/>
                <w:sz w:val="24"/>
                <w:szCs w:val="24"/>
                <w:highlight w:val="none"/>
              </w:rPr>
              <w:t>3、综合评分法特别无效投标认定</w:t>
            </w:r>
          </w:p>
          <w:p w14:paraId="648637FB">
            <w:pPr>
              <w:pStyle w:val="4"/>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0C613762">
            <w:pPr>
              <w:pStyle w:val="7"/>
              <w:spacing w:after="0" w:line="360" w:lineRule="auto"/>
              <w:ind w:left="0"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4、关于同一品牌产品投标的相关规定</w:t>
            </w:r>
          </w:p>
          <w:p w14:paraId="7AA7FD2F">
            <w:pPr>
              <w:pStyle w:val="7"/>
              <w:spacing w:after="0" w:line="360" w:lineRule="auto"/>
              <w:ind w:left="0"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如果有多家投标人以同一品牌的产品参加投标，只能视为一家。</w:t>
            </w:r>
          </w:p>
          <w:p w14:paraId="7DB9AC72">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采用</w:t>
            </w:r>
            <w:r>
              <w:rPr>
                <w:color w:val="auto"/>
                <w:highlight w:val="none"/>
              </w:rPr>
              <w:fldChar w:fldCharType="begin"/>
            </w:r>
            <w:r>
              <w:rPr>
                <w:color w:val="auto"/>
                <w:highlight w:val="none"/>
              </w:rPr>
              <w:instrText xml:space="preserve"> HYPERLINK "http://lilun.caigou2003.com/recijiedu/2365668.html" \t "_blank" </w:instrText>
            </w:r>
            <w:r>
              <w:rPr>
                <w:color w:val="auto"/>
                <w:highlight w:val="none"/>
              </w:rPr>
              <w:fldChar w:fldCharType="separate"/>
            </w:r>
            <w:r>
              <w:rPr>
                <w:rFonts w:hint="eastAsia" w:ascii="宋体" w:hAnsi="宋体" w:cs="宋体"/>
                <w:color w:val="auto"/>
                <w:sz w:val="24"/>
                <w:szCs w:val="24"/>
                <w:highlight w:val="none"/>
              </w:rPr>
              <w:t>最低评标价法</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的采购项目，提供相同品牌产品的不同投标人参加同一合同项下投标的，以其中通过资格审查、符合性审查且报价最低的参加评标；报价相同的，由采购单位委托</w:t>
            </w:r>
            <w:r>
              <w:rPr>
                <w:color w:val="auto"/>
                <w:highlight w:val="none"/>
              </w:rPr>
              <w:fldChar w:fldCharType="begin"/>
            </w:r>
            <w:r>
              <w:rPr>
                <w:color w:val="auto"/>
                <w:highlight w:val="none"/>
              </w:rPr>
              <w:instrText xml:space="preserve"> HYPERLINK "http://lilun.caigou2003.com/recijiedu/2539165.html" \t "_blank" </w:instrText>
            </w:r>
            <w:r>
              <w:rPr>
                <w:color w:val="auto"/>
                <w:highlight w:val="none"/>
              </w:rPr>
              <w:fldChar w:fldCharType="separate"/>
            </w:r>
            <w:r>
              <w:rPr>
                <w:rFonts w:hint="eastAsia" w:ascii="宋体" w:hAnsi="宋体" w:cs="宋体"/>
                <w:color w:val="auto"/>
                <w:sz w:val="24"/>
                <w:szCs w:val="24"/>
                <w:highlight w:val="none"/>
              </w:rPr>
              <w:t>评标委员会</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按照招标文件规定的方式确定一个参加评标的投标人，招标文件未规定的采取随机抽取方式确定，其他投标无效。</w:t>
            </w:r>
          </w:p>
          <w:p w14:paraId="7B1B067D">
            <w:pPr>
              <w:spacing w:line="360" w:lineRule="auto"/>
              <w:ind w:firstLine="324"/>
              <w:rPr>
                <w:rFonts w:ascii="宋体" w:hAnsi="宋体" w:cs="宋体"/>
                <w:color w:val="auto"/>
                <w:sz w:val="24"/>
                <w:szCs w:val="24"/>
                <w:highlight w:val="none"/>
              </w:rPr>
            </w:pPr>
            <w:r>
              <w:rPr>
                <w:rFonts w:hint="eastAsia" w:ascii="宋体" w:hAnsi="宋体" w:cs="宋体"/>
                <w:color w:val="auto"/>
                <w:sz w:val="24"/>
                <w:szCs w:val="24"/>
                <w:highlight w:val="none"/>
              </w:rPr>
              <w:t>使用</w:t>
            </w:r>
            <w:r>
              <w:rPr>
                <w:color w:val="auto"/>
                <w:highlight w:val="none"/>
              </w:rPr>
              <w:fldChar w:fldCharType="begin"/>
            </w:r>
            <w:r>
              <w:rPr>
                <w:color w:val="auto"/>
                <w:highlight w:val="none"/>
              </w:rPr>
              <w:instrText xml:space="preserve"> HYPERLINK "http://lilun.caigou2003.com/recijiedu/2365667.html" \t "_blank" </w:instrText>
            </w:r>
            <w:r>
              <w:rPr>
                <w:color w:val="auto"/>
                <w:highlight w:val="none"/>
              </w:rPr>
              <w:fldChar w:fldCharType="separate"/>
            </w:r>
            <w:r>
              <w:rPr>
                <w:rFonts w:hint="eastAsia" w:ascii="宋体" w:hAnsi="宋体" w:cs="宋体"/>
                <w:color w:val="auto"/>
                <w:sz w:val="24"/>
                <w:szCs w:val="24"/>
                <w:highlight w:val="none"/>
              </w:rPr>
              <w:t>综合评分法</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采购单位委托评标委员会按照招标文件规定的方式确定一个投标人获得中标供应商推荐资格，招标文件未规定的采取随机抽取方式确定，其他同品牌投标人不作为中标候选人。</w:t>
            </w:r>
          </w:p>
          <w:p w14:paraId="22B18220">
            <w:pPr>
              <w:pStyle w:val="4"/>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非单一产品采购项目，采购单位应当根据采购项目技术构成、产品价格比重等合理确定核心产品，并在招标文件中载明。多家投标人提供的核心产品品牌相同的，按前两款规定处理。</w:t>
            </w:r>
          </w:p>
        </w:tc>
      </w:tr>
      <w:tr w14:paraId="206FE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tcPr>
          <w:p w14:paraId="1C3F0C0A">
            <w:pPr>
              <w:pStyle w:val="4"/>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三、定标原则（确定中标供应商数量：</w:t>
            </w:r>
            <w:r>
              <w:rPr>
                <w:rFonts w:hint="eastAsia" w:ascii="宋体" w:hAnsi="宋体" w:cs="宋体"/>
                <w:color w:val="auto"/>
                <w:sz w:val="24"/>
                <w:szCs w:val="24"/>
                <w:highlight w:val="none"/>
                <w:u w:val="single"/>
              </w:rPr>
              <w:t>1</w:t>
            </w:r>
            <w:r>
              <w:rPr>
                <w:rFonts w:hint="eastAsia" w:ascii="宋体" w:hAnsi="宋体" w:cs="宋体"/>
                <w:color w:val="auto"/>
                <w:sz w:val="24"/>
                <w:szCs w:val="24"/>
                <w:highlight w:val="none"/>
              </w:rPr>
              <w:t>个）：</w:t>
            </w:r>
          </w:p>
          <w:p w14:paraId="0EEAA393">
            <w:pPr>
              <w:pStyle w:val="4"/>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□采购单位委托招标代理机构招标，在收到评标报告后五个工作日内，按照评标报告中推荐的中标候选供应商顺序确定中标供应商。</w:t>
            </w:r>
          </w:p>
          <w:p w14:paraId="1223113D">
            <w:pPr>
              <w:pStyle w:val="4"/>
              <w:snapToGrid w:val="0"/>
              <w:spacing w:line="360" w:lineRule="auto"/>
              <w:ind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 xml:space="preserve"> 采购单位委托招标代理机构招标，授权评标委员会直接确定中标供应商。</w:t>
            </w:r>
          </w:p>
          <w:p w14:paraId="5A43FCED">
            <w:pPr>
              <w:pStyle w:val="4"/>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采购单位自行组织招标，在评标结束后五个工作日内确定中标供应商。</w:t>
            </w:r>
          </w:p>
        </w:tc>
      </w:tr>
    </w:tbl>
    <w:p w14:paraId="2F35E47F">
      <w:pPr>
        <w:pStyle w:val="4"/>
        <w:snapToGrid w:val="0"/>
        <w:spacing w:line="360" w:lineRule="auto"/>
        <w:ind w:firstLine="0"/>
        <w:rPr>
          <w:rFonts w:ascii="宋体" w:hAnsi="宋体" w:cs="宋体"/>
          <w:b/>
          <w:color w:val="auto"/>
          <w:sz w:val="24"/>
          <w:szCs w:val="24"/>
          <w:highlight w:val="none"/>
          <w:u w:val="single"/>
        </w:rPr>
      </w:pPr>
      <w:r>
        <w:rPr>
          <w:rFonts w:hint="eastAsia" w:ascii="宋体" w:hAnsi="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40F8B7C2">
      <w:pPr>
        <w:tabs>
          <w:tab w:val="left" w:pos="-1080"/>
          <w:tab w:val="left" w:pos="180"/>
          <w:tab w:val="left" w:pos="1080"/>
        </w:tabs>
        <w:spacing w:line="360" w:lineRule="auto"/>
        <w:rPr>
          <w:rFonts w:ascii="宋体" w:hAnsi="宋体" w:cs="宋体"/>
          <w:b/>
          <w:color w:val="auto"/>
          <w:sz w:val="24"/>
          <w:szCs w:val="24"/>
          <w:highlight w:val="none"/>
        </w:rPr>
      </w:pPr>
    </w:p>
    <w:p w14:paraId="333FCE44">
      <w:pPr>
        <w:tabs>
          <w:tab w:val="left" w:pos="-1080"/>
          <w:tab w:val="left" w:pos="180"/>
          <w:tab w:val="left" w:pos="1080"/>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附件：评标标准、权重</w:t>
      </w:r>
    </w:p>
    <w:p w14:paraId="2CF84094">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（一）技术评分(F1)：按55分评分法，技术评分考虑下列因素：</w:t>
      </w:r>
    </w:p>
    <w:tbl>
      <w:tblPr>
        <w:tblStyle w:val="12"/>
        <w:tblW w:w="0" w:type="auto"/>
        <w:tblInd w:w="0" w:type="dxa"/>
        <w:tblLayout w:type="fixed"/>
        <w:tblCellMar>
          <w:top w:w="0" w:type="dxa"/>
          <w:left w:w="108" w:type="dxa"/>
          <w:bottom w:w="0" w:type="dxa"/>
          <w:right w:w="108" w:type="dxa"/>
        </w:tblCellMar>
      </w:tblPr>
      <w:tblGrid>
        <w:gridCol w:w="883"/>
        <w:gridCol w:w="6838"/>
        <w:gridCol w:w="898"/>
      </w:tblGrid>
      <w:tr w14:paraId="5D91444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4132C88">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vAlign w:val="center"/>
          </w:tcPr>
          <w:p w14:paraId="274FCB36">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71946A0F">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满分</w:t>
            </w:r>
          </w:p>
          <w:p w14:paraId="46EFAED4">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分值</w:t>
            </w:r>
          </w:p>
        </w:tc>
      </w:tr>
      <w:tr w14:paraId="77E63B0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6097263">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w:t>
            </w:r>
          </w:p>
        </w:tc>
        <w:tc>
          <w:tcPr>
            <w:tcW w:w="6838" w:type="dxa"/>
            <w:tcBorders>
              <w:top w:val="single" w:color="auto" w:sz="4" w:space="0"/>
              <w:left w:val="single" w:color="auto" w:sz="4" w:space="0"/>
              <w:bottom w:val="single" w:color="auto" w:sz="4" w:space="0"/>
              <w:right w:val="single" w:color="auto" w:sz="4" w:space="0"/>
            </w:tcBorders>
            <w:vAlign w:val="center"/>
          </w:tcPr>
          <w:p w14:paraId="2B2DAC0D">
            <w:pPr>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1-1的</w:t>
            </w:r>
            <w:r>
              <w:rPr>
                <w:rStyle w:val="17"/>
                <w:rFonts w:hint="default" w:asciiTheme="minorEastAsia" w:hAnsiTheme="minorEastAsia" w:eastAsiaTheme="minorEastAsia"/>
                <w:color w:val="auto"/>
                <w:sz w:val="24"/>
                <w:szCs w:val="24"/>
                <w:highlight w:val="none"/>
              </w:rPr>
              <w:t>物理分辨率</w:t>
            </w:r>
            <w:r>
              <w:rPr>
                <w:rStyle w:val="18"/>
                <w:rFonts w:hint="default" w:asciiTheme="minorEastAsia" w:hAnsiTheme="minorEastAsia" w:eastAsiaTheme="minorEastAsia"/>
                <w:color w:val="auto"/>
                <w:sz w:val="24"/>
                <w:szCs w:val="24"/>
                <w:highlight w:val="none"/>
              </w:rPr>
              <w:t>进行评价（</w:t>
            </w:r>
            <w:r>
              <w:rPr>
                <w:rStyle w:val="17"/>
                <w:rFonts w:hint="default" w:asciiTheme="minorEastAsia" w:hAnsiTheme="minorEastAsia" w:eastAsiaTheme="minorEastAsia"/>
                <w:color w:val="auto"/>
                <w:sz w:val="24"/>
                <w:szCs w:val="24"/>
                <w:highlight w:val="none"/>
              </w:rPr>
              <w:t>当分辨率≥4192*3104时得3分，当4192*3104＞分辨率≥3648*2736时得2分，3648*2736＞分辨率≥3610*2710的得1分，其它得0分</w:t>
            </w:r>
            <w:r>
              <w:rPr>
                <w:rStyle w:val="18"/>
                <w:rFonts w:hint="default" w:asciiTheme="minorEastAsia" w:hAnsiTheme="minorEastAsia" w:eastAsiaTheme="minorEastAsia"/>
                <w:color w:val="auto"/>
                <w:sz w:val="24"/>
                <w:szCs w:val="24"/>
                <w:highlight w:val="none"/>
              </w:rPr>
              <w:t>）（投标人需提供加盖投标人公章的产品彩页或所投标品牌的国内或国外官方网站体现该投标型号对应的规格参数的网页截图或复印件）。若投标人为联合体投标的，联合体中的一方盖章即可。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39320E50">
            <w:pPr>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52B467C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945BC96">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1-2</w:t>
            </w:r>
          </w:p>
        </w:tc>
        <w:tc>
          <w:tcPr>
            <w:tcW w:w="6838" w:type="dxa"/>
            <w:tcBorders>
              <w:top w:val="single" w:color="auto" w:sz="4" w:space="0"/>
              <w:left w:val="single" w:color="auto" w:sz="4" w:space="0"/>
              <w:bottom w:val="single" w:color="auto" w:sz="4" w:space="0"/>
              <w:right w:val="single" w:color="auto" w:sz="4" w:space="0"/>
            </w:tcBorders>
            <w:vAlign w:val="center"/>
          </w:tcPr>
          <w:p w14:paraId="58EF8546">
            <w:pPr>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1-2的</w:t>
            </w:r>
            <w:r>
              <w:rPr>
                <w:rStyle w:val="17"/>
                <w:rFonts w:hint="default" w:asciiTheme="minorEastAsia" w:hAnsiTheme="minorEastAsia" w:eastAsiaTheme="minorEastAsia"/>
                <w:color w:val="auto"/>
                <w:sz w:val="24"/>
                <w:szCs w:val="24"/>
                <w:highlight w:val="none"/>
              </w:rPr>
              <w:t>物理分辨率</w:t>
            </w:r>
            <w:r>
              <w:rPr>
                <w:rStyle w:val="18"/>
                <w:rFonts w:hint="default" w:asciiTheme="minorEastAsia" w:hAnsiTheme="minorEastAsia" w:eastAsiaTheme="minorEastAsia"/>
                <w:color w:val="auto"/>
                <w:sz w:val="24"/>
                <w:szCs w:val="24"/>
                <w:highlight w:val="none"/>
              </w:rPr>
              <w:t>进行评价（</w:t>
            </w:r>
            <w:r>
              <w:rPr>
                <w:rStyle w:val="17"/>
                <w:rFonts w:hint="default" w:asciiTheme="minorEastAsia" w:hAnsiTheme="minorEastAsia" w:eastAsiaTheme="minorEastAsia"/>
                <w:color w:val="auto"/>
                <w:sz w:val="24"/>
                <w:szCs w:val="24"/>
                <w:highlight w:val="none"/>
              </w:rPr>
              <w:t>当分辨率≥3648*2736时得3分，3648*2736＞分辨率≥3264*2446 的得2分，3264*2446＞分辨率≥3210*2410 的得1分，其它得0分。</w:t>
            </w:r>
            <w:r>
              <w:rPr>
                <w:rStyle w:val="18"/>
                <w:rFonts w:hint="default" w:asciiTheme="minorEastAsia" w:hAnsiTheme="minorEastAsia" w:eastAsiaTheme="minorEastAsia"/>
                <w:color w:val="auto"/>
                <w:sz w:val="24"/>
                <w:szCs w:val="24"/>
                <w:highlight w:val="none"/>
              </w:rPr>
              <w:t>）（投标人需提供加盖投标人公章的产品彩页或所投标品牌的国内或国外官方网站体现该投标型号对应的规格参数的网页截图或者复印件）。若投标人为联合体投标的，联合体中的一方盖章即可。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03B2EE15">
            <w:pPr>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2578266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0034937">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1-3</w:t>
            </w:r>
          </w:p>
        </w:tc>
        <w:tc>
          <w:tcPr>
            <w:tcW w:w="6838" w:type="dxa"/>
            <w:tcBorders>
              <w:top w:val="single" w:color="auto" w:sz="4" w:space="0"/>
              <w:left w:val="single" w:color="auto" w:sz="4" w:space="0"/>
              <w:bottom w:val="single" w:color="auto" w:sz="4" w:space="0"/>
              <w:right w:val="single" w:color="auto" w:sz="4" w:space="0"/>
            </w:tcBorders>
            <w:vAlign w:val="center"/>
          </w:tcPr>
          <w:p w14:paraId="3869FDE3">
            <w:pPr>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 xml:space="preserve">1-3的物理分辨率进行评价（当分辨率≥3648*2736时得3分，3648*2736＞分辨率≥3264*2446 </w:t>
            </w:r>
            <w:r>
              <w:rPr>
                <w:rFonts w:hint="eastAsia" w:cs="宋体" w:asciiTheme="minorEastAsia" w:hAnsiTheme="minorEastAsia" w:eastAsiaTheme="minorEastAsia"/>
                <w:color w:val="auto"/>
                <w:kern w:val="0"/>
                <w:sz w:val="24"/>
                <w:szCs w:val="24"/>
                <w:highlight w:val="none"/>
              </w:rPr>
              <w:t>的得</w:t>
            </w:r>
            <w:r>
              <w:rPr>
                <w:rFonts w:cs="宋体" w:asciiTheme="minorEastAsia" w:hAnsiTheme="minorEastAsia" w:eastAsiaTheme="minorEastAsia"/>
                <w:color w:val="auto"/>
                <w:kern w:val="0"/>
                <w:sz w:val="24"/>
                <w:szCs w:val="24"/>
                <w:highlight w:val="none"/>
              </w:rPr>
              <w:t xml:space="preserve">2分，3264*2446＞分辨率≥3210*2410 </w:t>
            </w:r>
            <w:r>
              <w:rPr>
                <w:rFonts w:hint="eastAsia" w:cs="宋体" w:asciiTheme="minorEastAsia" w:hAnsiTheme="minorEastAsia" w:eastAsiaTheme="minorEastAsia"/>
                <w:color w:val="auto"/>
                <w:kern w:val="0"/>
                <w:sz w:val="24"/>
                <w:szCs w:val="24"/>
                <w:highlight w:val="none"/>
              </w:rPr>
              <w:t>的得</w:t>
            </w:r>
            <w:r>
              <w:rPr>
                <w:rFonts w:cs="宋体" w:asciiTheme="minorEastAsia" w:hAnsiTheme="minorEastAsia" w:eastAsiaTheme="minorEastAsia"/>
                <w:color w:val="auto"/>
                <w:kern w:val="0"/>
                <w:sz w:val="24"/>
                <w:szCs w:val="24"/>
                <w:highlight w:val="none"/>
              </w:rPr>
              <w:t>1分，其它得0分。）（投标人需提供加盖投标人公章的产品彩页或所投标品牌的国内或国外官方网站体现该投标型号对应的规格参数的网页截</w:t>
            </w:r>
            <w:r>
              <w:rPr>
                <w:rFonts w:hint="eastAsia" w:cs="宋体" w:asciiTheme="minorEastAsia" w:hAnsiTheme="minorEastAsia" w:eastAsiaTheme="minorEastAsia"/>
                <w:color w:val="auto"/>
                <w:kern w:val="0"/>
                <w:sz w:val="24"/>
                <w:szCs w:val="24"/>
                <w:highlight w:val="none"/>
              </w:rPr>
              <w:t>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2D8B89A3">
            <w:pPr>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532B6A7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A018451">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1-4</w:t>
            </w:r>
          </w:p>
        </w:tc>
        <w:tc>
          <w:tcPr>
            <w:tcW w:w="6838" w:type="dxa"/>
            <w:tcBorders>
              <w:top w:val="single" w:color="auto" w:sz="4" w:space="0"/>
              <w:left w:val="single" w:color="auto" w:sz="4" w:space="0"/>
              <w:bottom w:val="single" w:color="auto" w:sz="4" w:space="0"/>
              <w:right w:val="single" w:color="auto" w:sz="4" w:space="0"/>
            </w:tcBorders>
            <w:vAlign w:val="center"/>
          </w:tcPr>
          <w:p w14:paraId="370B4BAF">
            <w:pPr>
              <w:tabs>
                <w:tab w:val="left" w:pos="-1080"/>
                <w:tab w:val="left" w:pos="180"/>
                <w:tab w:val="left" w:pos="1080"/>
              </w:tabs>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1-4的</w:t>
            </w:r>
            <w:r>
              <w:rPr>
                <w:rStyle w:val="17"/>
                <w:rFonts w:hint="default" w:asciiTheme="minorEastAsia" w:hAnsiTheme="minorEastAsia" w:eastAsiaTheme="minorEastAsia"/>
                <w:color w:val="auto"/>
                <w:sz w:val="24"/>
                <w:szCs w:val="24"/>
                <w:highlight w:val="none"/>
              </w:rPr>
              <w:t>物理分辨率</w:t>
            </w:r>
            <w:r>
              <w:rPr>
                <w:rStyle w:val="18"/>
                <w:rFonts w:hint="default" w:asciiTheme="minorEastAsia" w:hAnsiTheme="minorEastAsia" w:eastAsiaTheme="minorEastAsia"/>
                <w:color w:val="auto"/>
                <w:sz w:val="24"/>
                <w:szCs w:val="24"/>
                <w:highlight w:val="none"/>
              </w:rPr>
              <w:t>进行评价（</w:t>
            </w:r>
            <w:r>
              <w:rPr>
                <w:rStyle w:val="17"/>
                <w:rFonts w:hint="default" w:asciiTheme="minorEastAsia" w:hAnsiTheme="minorEastAsia" w:eastAsiaTheme="minorEastAsia"/>
                <w:color w:val="auto"/>
                <w:sz w:val="24"/>
                <w:szCs w:val="24"/>
                <w:highlight w:val="none"/>
              </w:rPr>
              <w:t>当分辨率≥4192*3104时得3分，当4192*3104＞分辨率≥3648*2736时得2分，3648*2736＞分辨率≥3610*2710的得1分，其它得0分。</w:t>
            </w:r>
            <w:r>
              <w:rPr>
                <w:rStyle w:val="18"/>
                <w:rFonts w:hint="default" w:asciiTheme="minorEastAsia" w:hAnsiTheme="minorEastAsia" w:eastAsiaTheme="minorEastAsia"/>
                <w:color w:val="auto"/>
                <w:sz w:val="24"/>
                <w:szCs w:val="24"/>
                <w:highlight w:val="none"/>
              </w:rPr>
              <w:t>）（投标人需提供加盖投标人公章的产品彩页或所投标品牌的国内或国外官方网站体现该投标型号对应的规格参数的网页截图或复印件）。若投标人为联合体投标的，联合体中的一方盖章即可。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486A48B9">
            <w:pPr>
              <w:tabs>
                <w:tab w:val="left" w:pos="-1080"/>
                <w:tab w:val="left" w:pos="180"/>
                <w:tab w:val="left" w:pos="108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1512383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F37B967">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1-5</w:t>
            </w:r>
          </w:p>
        </w:tc>
        <w:tc>
          <w:tcPr>
            <w:tcW w:w="6838" w:type="dxa"/>
            <w:tcBorders>
              <w:top w:val="single" w:color="auto" w:sz="4" w:space="0"/>
              <w:left w:val="single" w:color="auto" w:sz="4" w:space="0"/>
              <w:bottom w:val="single" w:color="auto" w:sz="4" w:space="0"/>
              <w:right w:val="single" w:color="auto" w:sz="4" w:space="0"/>
            </w:tcBorders>
            <w:vAlign w:val="center"/>
          </w:tcPr>
          <w:p w14:paraId="2DCFBB88">
            <w:pPr>
              <w:tabs>
                <w:tab w:val="left" w:pos="720"/>
              </w:tabs>
              <w:spacing w:line="360" w:lineRule="auto"/>
              <w:ind w:right="18"/>
              <w:rPr>
                <w:rFonts w:ascii="宋体" w:hAnsi="宋体" w:cs="宋体"/>
                <w:bCs/>
                <w:color w:val="auto"/>
                <w:sz w:val="24"/>
                <w:szCs w:val="24"/>
                <w:highlight w:val="none"/>
              </w:rPr>
            </w:pPr>
            <w:r>
              <w:rPr>
                <w:rStyle w:val="19"/>
                <w:rFonts w:hint="default" w:asciiTheme="minorEastAsia" w:hAnsiTheme="minorEastAsia" w:eastAsiaTheme="minorEastAsia"/>
                <w:color w:val="auto"/>
                <w:sz w:val="24"/>
                <w:szCs w:val="24"/>
                <w:highlight w:val="none"/>
              </w:rPr>
              <w:t>根据投标设备中品目号1-1的</w:t>
            </w:r>
            <w:r>
              <w:rPr>
                <w:rStyle w:val="17"/>
                <w:rFonts w:hint="default" w:asciiTheme="minorEastAsia" w:hAnsiTheme="minorEastAsia" w:eastAsiaTheme="minorEastAsia"/>
                <w:color w:val="auto"/>
                <w:sz w:val="24"/>
                <w:szCs w:val="24"/>
                <w:highlight w:val="none"/>
              </w:rPr>
              <w:t>光学镜头进行评价。</w:t>
            </w:r>
            <w:r>
              <w:rPr>
                <w:rStyle w:val="20"/>
                <w:rFonts w:hint="default" w:asciiTheme="minorEastAsia" w:hAnsiTheme="minorEastAsia" w:eastAsiaTheme="minorEastAsia"/>
                <w:color w:val="auto"/>
                <w:sz w:val="24"/>
                <w:szCs w:val="24"/>
                <w:highlight w:val="none"/>
              </w:rPr>
              <w:t>采用玻璃工艺的得3分，塑料P工艺的得1分，其它得0分。（投标人需提供加盖投标人公章的产品彩页或所投标品牌的国内或国外官方网站体现该投标型号对应的规格参数的网页截图或者复印件）。</w:t>
            </w:r>
            <w:r>
              <w:rPr>
                <w:rStyle w:val="19"/>
                <w:rFonts w:hint="default" w:asciiTheme="minorEastAsia" w:hAnsiTheme="minorEastAsia" w:eastAsiaTheme="minorEastAsia"/>
                <w:color w:val="auto"/>
                <w:sz w:val="24"/>
                <w:szCs w:val="24"/>
                <w:highlight w:val="none"/>
              </w:rPr>
              <w:t>若投标人为联合体投标的，联合体中的一方盖章即可。若投标人为联合体投标的，联合体中的一方盖章即可。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74F7EB64">
            <w:pPr>
              <w:tabs>
                <w:tab w:val="left" w:pos="720"/>
              </w:tabs>
              <w:spacing w:line="360" w:lineRule="auto"/>
              <w:ind w:right="18"/>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5297A3E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5514785">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1-6</w:t>
            </w:r>
          </w:p>
        </w:tc>
        <w:tc>
          <w:tcPr>
            <w:tcW w:w="6838" w:type="dxa"/>
            <w:tcBorders>
              <w:top w:val="single" w:color="auto" w:sz="4" w:space="0"/>
              <w:left w:val="single" w:color="auto" w:sz="4" w:space="0"/>
              <w:bottom w:val="single" w:color="auto" w:sz="4" w:space="0"/>
              <w:right w:val="single" w:color="auto" w:sz="4" w:space="0"/>
            </w:tcBorders>
            <w:vAlign w:val="center"/>
          </w:tcPr>
          <w:p w14:paraId="4CD6781B">
            <w:pPr>
              <w:tabs>
                <w:tab w:val="left" w:pos="720"/>
              </w:tabs>
              <w:spacing w:line="360" w:lineRule="auto"/>
              <w:ind w:right="18"/>
              <w:rPr>
                <w:rFonts w:ascii="宋体" w:hAnsi="宋体" w:cs="宋体"/>
                <w:bCs/>
                <w:color w:val="auto"/>
                <w:sz w:val="24"/>
                <w:szCs w:val="24"/>
                <w:highlight w:val="none"/>
              </w:rPr>
            </w:pPr>
            <w:r>
              <w:rPr>
                <w:rStyle w:val="19"/>
                <w:rFonts w:hint="default" w:asciiTheme="minorEastAsia" w:hAnsiTheme="minorEastAsia" w:eastAsiaTheme="minorEastAsia"/>
                <w:color w:val="auto"/>
                <w:sz w:val="24"/>
                <w:szCs w:val="24"/>
                <w:highlight w:val="none"/>
              </w:rPr>
              <w:t>根据投标设备中品目号1-2的</w:t>
            </w:r>
            <w:r>
              <w:rPr>
                <w:rStyle w:val="17"/>
                <w:rFonts w:hint="default" w:asciiTheme="minorEastAsia" w:hAnsiTheme="minorEastAsia" w:eastAsiaTheme="minorEastAsia"/>
                <w:color w:val="auto"/>
                <w:sz w:val="24"/>
                <w:szCs w:val="24"/>
                <w:highlight w:val="none"/>
              </w:rPr>
              <w:t>光学镜头进行评价。</w:t>
            </w:r>
            <w:r>
              <w:rPr>
                <w:rStyle w:val="20"/>
                <w:rFonts w:hint="default" w:asciiTheme="minorEastAsia" w:hAnsiTheme="minorEastAsia" w:eastAsiaTheme="minorEastAsia"/>
                <w:color w:val="auto"/>
                <w:sz w:val="24"/>
                <w:szCs w:val="24"/>
                <w:highlight w:val="none"/>
              </w:rPr>
              <w:t>采用玻璃工艺的得3分，塑料P工艺的得1分，其它得0分。（投标人需提供加盖投标人公章的产品彩页或所投标品牌的国内或国外官方网站体现该投标型号对应的规格参数的网页截图</w:t>
            </w:r>
            <w:r>
              <w:rPr>
                <w:rStyle w:val="19"/>
                <w:rFonts w:hint="default" w:asciiTheme="minorEastAsia" w:hAnsiTheme="minorEastAsia" w:eastAsiaTheme="minorEastAsia"/>
                <w:color w:val="auto"/>
                <w:sz w:val="24"/>
                <w:szCs w:val="24"/>
                <w:highlight w:val="none"/>
              </w:rPr>
              <w:t>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4417FD05">
            <w:pPr>
              <w:tabs>
                <w:tab w:val="left" w:pos="720"/>
              </w:tabs>
              <w:spacing w:line="360" w:lineRule="auto"/>
              <w:ind w:right="18"/>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267E11F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BA66162">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1-7</w:t>
            </w:r>
          </w:p>
        </w:tc>
        <w:tc>
          <w:tcPr>
            <w:tcW w:w="6838" w:type="dxa"/>
            <w:tcBorders>
              <w:top w:val="single" w:color="auto" w:sz="4" w:space="0"/>
              <w:left w:val="single" w:color="auto" w:sz="4" w:space="0"/>
              <w:bottom w:val="single" w:color="auto" w:sz="4" w:space="0"/>
              <w:right w:val="single" w:color="auto" w:sz="4" w:space="0"/>
            </w:tcBorders>
            <w:vAlign w:val="center"/>
          </w:tcPr>
          <w:p w14:paraId="44C72A23">
            <w:pPr>
              <w:tabs>
                <w:tab w:val="left" w:pos="720"/>
              </w:tabs>
              <w:spacing w:line="360" w:lineRule="auto"/>
              <w:ind w:right="18"/>
              <w:rPr>
                <w:rFonts w:ascii="宋体" w:hAnsi="宋体" w:cs="宋体"/>
                <w:bCs/>
                <w:color w:val="auto"/>
                <w:sz w:val="24"/>
                <w:szCs w:val="24"/>
                <w:highlight w:val="none"/>
              </w:rPr>
            </w:pPr>
            <w:r>
              <w:rPr>
                <w:rStyle w:val="19"/>
                <w:rFonts w:hint="default" w:asciiTheme="minorEastAsia" w:hAnsiTheme="minorEastAsia" w:eastAsiaTheme="minorEastAsia"/>
                <w:color w:val="auto"/>
                <w:sz w:val="24"/>
                <w:szCs w:val="24"/>
                <w:highlight w:val="none"/>
              </w:rPr>
              <w:t>根据投标设备中品目号1-3的</w:t>
            </w:r>
            <w:r>
              <w:rPr>
                <w:rStyle w:val="17"/>
                <w:rFonts w:hint="default" w:asciiTheme="minorEastAsia" w:hAnsiTheme="minorEastAsia" w:eastAsiaTheme="minorEastAsia"/>
                <w:color w:val="auto"/>
                <w:sz w:val="24"/>
                <w:szCs w:val="24"/>
                <w:highlight w:val="none"/>
              </w:rPr>
              <w:t>光学镜头进行评价。</w:t>
            </w:r>
            <w:r>
              <w:rPr>
                <w:rStyle w:val="20"/>
                <w:rFonts w:hint="default" w:asciiTheme="minorEastAsia" w:hAnsiTheme="minorEastAsia" w:eastAsiaTheme="minorEastAsia"/>
                <w:color w:val="auto"/>
                <w:sz w:val="24"/>
                <w:szCs w:val="24"/>
                <w:highlight w:val="none"/>
              </w:rPr>
              <w:t>采用玻璃工艺的得3分，塑料P工艺的得1分，其它得0分。（投标人需提供加盖投标人公章</w:t>
            </w:r>
            <w:r>
              <w:rPr>
                <w:rStyle w:val="19"/>
                <w:rFonts w:hint="default" w:asciiTheme="minorEastAsia" w:hAnsiTheme="minorEastAsia" w:eastAsiaTheme="minorEastAsia"/>
                <w:color w:val="auto"/>
                <w:sz w:val="24"/>
                <w:szCs w:val="24"/>
                <w:highlight w:val="none"/>
              </w:rPr>
              <w:t>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0B836B05">
            <w:pPr>
              <w:tabs>
                <w:tab w:val="left" w:pos="720"/>
              </w:tabs>
              <w:spacing w:line="360" w:lineRule="auto"/>
              <w:ind w:right="18"/>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28F2D8E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1DDA449">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1-8</w:t>
            </w:r>
          </w:p>
        </w:tc>
        <w:tc>
          <w:tcPr>
            <w:tcW w:w="6838" w:type="dxa"/>
            <w:tcBorders>
              <w:top w:val="single" w:color="auto" w:sz="4" w:space="0"/>
              <w:left w:val="single" w:color="auto" w:sz="4" w:space="0"/>
              <w:bottom w:val="single" w:color="auto" w:sz="4" w:space="0"/>
              <w:right w:val="single" w:color="auto" w:sz="4" w:space="0"/>
            </w:tcBorders>
            <w:vAlign w:val="center"/>
          </w:tcPr>
          <w:p w14:paraId="40B1B47B">
            <w:pPr>
              <w:tabs>
                <w:tab w:val="left" w:pos="-1080"/>
                <w:tab w:val="left" w:pos="180"/>
                <w:tab w:val="left" w:pos="1080"/>
                <w:tab w:val="left" w:pos="2370"/>
              </w:tabs>
              <w:spacing w:line="360" w:lineRule="auto"/>
              <w:rPr>
                <w:rFonts w:ascii="宋体" w:hAnsi="宋体" w:cs="宋体"/>
                <w:bCs/>
                <w:color w:val="auto"/>
                <w:sz w:val="24"/>
                <w:szCs w:val="24"/>
                <w:highlight w:val="none"/>
              </w:rPr>
            </w:pPr>
            <w:r>
              <w:rPr>
                <w:rStyle w:val="19"/>
                <w:rFonts w:hint="default" w:asciiTheme="minorEastAsia" w:hAnsiTheme="minorEastAsia" w:eastAsiaTheme="minorEastAsia"/>
                <w:color w:val="auto"/>
                <w:sz w:val="24"/>
                <w:szCs w:val="24"/>
                <w:highlight w:val="none"/>
              </w:rPr>
              <w:t>根据投标设备中品目号1-4的</w:t>
            </w:r>
            <w:r>
              <w:rPr>
                <w:rStyle w:val="17"/>
                <w:rFonts w:hint="default" w:asciiTheme="minorEastAsia" w:hAnsiTheme="minorEastAsia" w:eastAsiaTheme="minorEastAsia"/>
                <w:color w:val="auto"/>
                <w:sz w:val="24"/>
                <w:szCs w:val="24"/>
                <w:highlight w:val="none"/>
              </w:rPr>
              <w:t>光学镜头进行评价。</w:t>
            </w:r>
            <w:r>
              <w:rPr>
                <w:rStyle w:val="20"/>
                <w:rFonts w:hint="default" w:asciiTheme="minorEastAsia" w:hAnsiTheme="minorEastAsia" w:eastAsiaTheme="minorEastAsia"/>
                <w:color w:val="auto"/>
                <w:sz w:val="24"/>
                <w:szCs w:val="24"/>
                <w:highlight w:val="none"/>
              </w:rPr>
              <w:t>采用玻璃工艺的得3分，塑料P工艺的得1分，其它得0分。（投标人需提供加盖投标人公章的</w:t>
            </w:r>
            <w:r>
              <w:rPr>
                <w:rStyle w:val="19"/>
                <w:rFonts w:hint="default" w:asciiTheme="minorEastAsia" w:hAnsiTheme="minorEastAsia" w:eastAsiaTheme="minorEastAsia"/>
                <w:color w:val="auto"/>
                <w:sz w:val="24"/>
                <w:szCs w:val="24"/>
                <w:highlight w:val="none"/>
              </w:rPr>
              <w:t>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45569591">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6B08FD0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240FFF2">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1-9</w:t>
            </w:r>
          </w:p>
        </w:tc>
        <w:tc>
          <w:tcPr>
            <w:tcW w:w="6838" w:type="dxa"/>
            <w:tcBorders>
              <w:top w:val="single" w:color="auto" w:sz="4" w:space="0"/>
              <w:left w:val="single" w:color="auto" w:sz="4" w:space="0"/>
              <w:bottom w:val="single" w:color="auto" w:sz="4" w:space="0"/>
              <w:right w:val="single" w:color="auto" w:sz="4" w:space="0"/>
            </w:tcBorders>
            <w:vAlign w:val="center"/>
          </w:tcPr>
          <w:p w14:paraId="46A1BFC6">
            <w:pPr>
              <w:tabs>
                <w:tab w:val="left" w:pos="-1080"/>
                <w:tab w:val="left" w:pos="180"/>
                <w:tab w:val="left" w:pos="1080"/>
                <w:tab w:val="left" w:pos="2370"/>
              </w:tabs>
              <w:spacing w:line="360" w:lineRule="auto"/>
              <w:rPr>
                <w:rFonts w:ascii="宋体" w:hAnsi="宋体" w:cs="宋体"/>
                <w:bCs/>
                <w:color w:val="auto"/>
                <w:sz w:val="24"/>
                <w:szCs w:val="24"/>
                <w:highlight w:val="none"/>
              </w:rPr>
            </w:pPr>
            <w:r>
              <w:rPr>
                <w:rStyle w:val="19"/>
                <w:rFonts w:hint="default" w:asciiTheme="minorEastAsia" w:hAnsiTheme="minorEastAsia" w:eastAsiaTheme="minorEastAsia"/>
                <w:color w:val="auto"/>
                <w:sz w:val="24"/>
                <w:szCs w:val="24"/>
                <w:highlight w:val="none"/>
              </w:rPr>
              <w:t>根据投标设备中品目号1-1的</w:t>
            </w:r>
            <w:r>
              <w:rPr>
                <w:rStyle w:val="17"/>
                <w:rFonts w:hint="default" w:asciiTheme="minorEastAsia" w:hAnsiTheme="minorEastAsia" w:eastAsiaTheme="minorEastAsia"/>
                <w:color w:val="auto"/>
                <w:sz w:val="24"/>
                <w:szCs w:val="24"/>
                <w:highlight w:val="none"/>
              </w:rPr>
              <w:t>LED补光灯</w:t>
            </w:r>
            <w:r>
              <w:rPr>
                <w:rStyle w:val="19"/>
                <w:rFonts w:hint="default" w:asciiTheme="minorEastAsia" w:hAnsiTheme="minorEastAsia" w:eastAsiaTheme="minorEastAsia"/>
                <w:color w:val="auto"/>
                <w:sz w:val="24"/>
                <w:szCs w:val="24"/>
                <w:highlight w:val="none"/>
              </w:rPr>
              <w:t>进行评价。支持3档位及以上可触摸调光得3分，支持2个档位触摸调光得2分，支持1个档位触摸调光得1分，其余得0分。（投标人需提供加盖投标人公章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59AB00EA">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6EABEA5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953E676">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1-10</w:t>
            </w:r>
          </w:p>
        </w:tc>
        <w:tc>
          <w:tcPr>
            <w:tcW w:w="6838" w:type="dxa"/>
            <w:tcBorders>
              <w:top w:val="single" w:color="auto" w:sz="4" w:space="0"/>
              <w:left w:val="single" w:color="auto" w:sz="4" w:space="0"/>
              <w:bottom w:val="single" w:color="auto" w:sz="4" w:space="0"/>
              <w:right w:val="single" w:color="auto" w:sz="4" w:space="0"/>
            </w:tcBorders>
            <w:vAlign w:val="center"/>
          </w:tcPr>
          <w:p w14:paraId="70A13195">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1-2的</w:t>
            </w:r>
            <w:r>
              <w:rPr>
                <w:rStyle w:val="17"/>
                <w:rFonts w:hint="default" w:asciiTheme="minorEastAsia" w:hAnsiTheme="minorEastAsia" w:eastAsiaTheme="minorEastAsia"/>
                <w:color w:val="auto"/>
                <w:sz w:val="24"/>
                <w:szCs w:val="24"/>
                <w:highlight w:val="none"/>
              </w:rPr>
              <w:t>LED补光灯</w:t>
            </w:r>
            <w:r>
              <w:rPr>
                <w:rStyle w:val="19"/>
                <w:rFonts w:hint="default" w:asciiTheme="minorEastAsia" w:hAnsiTheme="minorEastAsia" w:eastAsiaTheme="minorEastAsia"/>
                <w:color w:val="auto"/>
                <w:sz w:val="24"/>
                <w:szCs w:val="24"/>
                <w:highlight w:val="none"/>
              </w:rPr>
              <w:t>进行评价，支持3档位及以上可触摸调光得3分，支持2个档位触摸调光得2分，支持1个档位触摸调光得1分，其余得0分。（投标人需提供加盖投标人公章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543D50EF">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7748766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C0CCC39">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1-11</w:t>
            </w:r>
          </w:p>
        </w:tc>
        <w:tc>
          <w:tcPr>
            <w:tcW w:w="6838" w:type="dxa"/>
            <w:tcBorders>
              <w:top w:val="single" w:color="auto" w:sz="4" w:space="0"/>
              <w:left w:val="single" w:color="auto" w:sz="4" w:space="0"/>
              <w:bottom w:val="single" w:color="auto" w:sz="4" w:space="0"/>
              <w:right w:val="single" w:color="auto" w:sz="4" w:space="0"/>
            </w:tcBorders>
            <w:vAlign w:val="center"/>
          </w:tcPr>
          <w:p w14:paraId="5E9DF188">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1-3的</w:t>
            </w:r>
            <w:r>
              <w:rPr>
                <w:rStyle w:val="17"/>
                <w:rFonts w:hint="default" w:asciiTheme="minorEastAsia" w:hAnsiTheme="minorEastAsia" w:eastAsiaTheme="minorEastAsia"/>
                <w:color w:val="auto"/>
                <w:sz w:val="24"/>
                <w:szCs w:val="24"/>
                <w:highlight w:val="none"/>
              </w:rPr>
              <w:t>主镜头和副镜头补光灯</w:t>
            </w:r>
            <w:r>
              <w:rPr>
                <w:rStyle w:val="19"/>
                <w:rFonts w:hint="default" w:asciiTheme="minorEastAsia" w:hAnsiTheme="minorEastAsia" w:eastAsiaTheme="minorEastAsia"/>
                <w:color w:val="auto"/>
                <w:sz w:val="24"/>
                <w:szCs w:val="24"/>
                <w:highlight w:val="none"/>
              </w:rPr>
              <w:t>进行评价，主镜头和副镜头支持LED补光且可触摸调光的得2分，其余得0分。（投标人需提供加盖投标人公章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0D9FDBAC">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2</w:t>
            </w:r>
          </w:p>
        </w:tc>
      </w:tr>
      <w:tr w14:paraId="0932D6A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360EB51">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1-12</w:t>
            </w:r>
          </w:p>
        </w:tc>
        <w:tc>
          <w:tcPr>
            <w:tcW w:w="6838" w:type="dxa"/>
            <w:tcBorders>
              <w:top w:val="single" w:color="auto" w:sz="4" w:space="0"/>
              <w:left w:val="single" w:color="auto" w:sz="4" w:space="0"/>
              <w:bottom w:val="single" w:color="auto" w:sz="4" w:space="0"/>
              <w:right w:val="single" w:color="auto" w:sz="4" w:space="0"/>
            </w:tcBorders>
            <w:vAlign w:val="center"/>
          </w:tcPr>
          <w:p w14:paraId="58810C78">
            <w:pPr>
              <w:tabs>
                <w:tab w:val="left" w:pos="-1080"/>
                <w:tab w:val="left" w:pos="180"/>
                <w:tab w:val="left" w:pos="1080"/>
                <w:tab w:val="left" w:pos="2370"/>
              </w:tabs>
              <w:spacing w:line="360" w:lineRule="auto"/>
              <w:rPr>
                <w:rFonts w:ascii="宋体" w:hAnsi="宋体" w:cs="宋体"/>
                <w:bCs/>
                <w:color w:val="auto"/>
                <w:sz w:val="24"/>
                <w:szCs w:val="24"/>
                <w:highlight w:val="none"/>
              </w:rPr>
            </w:pPr>
            <w:r>
              <w:rPr>
                <w:rStyle w:val="19"/>
                <w:rFonts w:hint="default" w:asciiTheme="minorEastAsia" w:hAnsiTheme="minorEastAsia" w:eastAsiaTheme="minorEastAsia"/>
                <w:color w:val="auto"/>
                <w:sz w:val="24"/>
                <w:szCs w:val="24"/>
                <w:highlight w:val="none"/>
              </w:rPr>
              <w:t>根据投标设备中品目号1-4的</w:t>
            </w:r>
            <w:r>
              <w:rPr>
                <w:rStyle w:val="17"/>
                <w:rFonts w:hint="default" w:asciiTheme="minorEastAsia" w:hAnsiTheme="minorEastAsia" w:eastAsiaTheme="minorEastAsia"/>
                <w:color w:val="auto"/>
                <w:sz w:val="24"/>
                <w:szCs w:val="24"/>
                <w:highlight w:val="none"/>
              </w:rPr>
              <w:t>主镜头和副镜头补光灯</w:t>
            </w:r>
            <w:r>
              <w:rPr>
                <w:rStyle w:val="19"/>
                <w:rFonts w:hint="default" w:asciiTheme="minorEastAsia" w:hAnsiTheme="minorEastAsia" w:eastAsiaTheme="minorEastAsia"/>
                <w:color w:val="auto"/>
                <w:sz w:val="24"/>
                <w:szCs w:val="24"/>
                <w:highlight w:val="none"/>
              </w:rPr>
              <w:t>进行评价，主镜头和副镜头支持LED补光且可触摸调光的得2分，其余得0分。（投标人需提供加盖投标人公章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31DA788B">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2</w:t>
            </w:r>
          </w:p>
        </w:tc>
      </w:tr>
      <w:tr w14:paraId="6B5B660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D96190D">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1-13</w:t>
            </w:r>
          </w:p>
        </w:tc>
        <w:tc>
          <w:tcPr>
            <w:tcW w:w="6838" w:type="dxa"/>
            <w:tcBorders>
              <w:top w:val="single" w:color="auto" w:sz="4" w:space="0"/>
              <w:left w:val="single" w:color="auto" w:sz="4" w:space="0"/>
              <w:bottom w:val="single" w:color="auto" w:sz="4" w:space="0"/>
              <w:right w:val="single" w:color="auto" w:sz="4" w:space="0"/>
            </w:tcBorders>
            <w:vAlign w:val="center"/>
          </w:tcPr>
          <w:p w14:paraId="6BAE7378">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1-1的</w:t>
            </w:r>
            <w:r>
              <w:rPr>
                <w:rStyle w:val="17"/>
                <w:rFonts w:hint="default" w:asciiTheme="minorEastAsia" w:hAnsiTheme="minorEastAsia" w:eastAsiaTheme="minorEastAsia"/>
                <w:color w:val="auto"/>
                <w:sz w:val="24"/>
                <w:szCs w:val="24"/>
                <w:highlight w:val="none"/>
              </w:rPr>
              <w:t>附加功能</w:t>
            </w:r>
            <w:r>
              <w:rPr>
                <w:rStyle w:val="19"/>
                <w:rFonts w:hint="default" w:asciiTheme="minorEastAsia" w:hAnsiTheme="minorEastAsia" w:eastAsiaTheme="minorEastAsia"/>
                <w:color w:val="auto"/>
                <w:sz w:val="24"/>
                <w:szCs w:val="24"/>
                <w:highlight w:val="none"/>
              </w:rPr>
              <w:t>进行评价，软件图像管理功能：拍摄时提供多种图片格式选择，可自定义设置图像存储路径的得2分，否则得0分。（投标人需提供加盖投标人公章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7430B298">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2</w:t>
            </w:r>
          </w:p>
        </w:tc>
      </w:tr>
      <w:tr w14:paraId="79B6641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FC64A39">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1-14</w:t>
            </w:r>
          </w:p>
        </w:tc>
        <w:tc>
          <w:tcPr>
            <w:tcW w:w="6838" w:type="dxa"/>
            <w:tcBorders>
              <w:top w:val="single" w:color="auto" w:sz="4" w:space="0"/>
              <w:left w:val="single" w:color="auto" w:sz="4" w:space="0"/>
              <w:bottom w:val="single" w:color="auto" w:sz="4" w:space="0"/>
              <w:right w:val="single" w:color="auto" w:sz="4" w:space="0"/>
            </w:tcBorders>
            <w:vAlign w:val="center"/>
          </w:tcPr>
          <w:p w14:paraId="2FF90CED">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ascii="宋体" w:hAnsi="宋体" w:cs="宋体"/>
                <w:color w:val="auto"/>
                <w:kern w:val="0"/>
                <w:sz w:val="24"/>
                <w:szCs w:val="24"/>
                <w:highlight w:val="none"/>
              </w:rPr>
              <w:t>根据投标设备中品目号</w:t>
            </w:r>
            <w:r>
              <w:rPr>
                <w:rFonts w:ascii="宋体" w:hAnsi="宋体" w:cs="宋体"/>
                <w:color w:val="auto"/>
                <w:kern w:val="0"/>
                <w:sz w:val="24"/>
                <w:szCs w:val="24"/>
                <w:highlight w:val="none"/>
              </w:rPr>
              <w:t>1-1的箱体整机设计进行评价。箱体四周具备圆弧倒角半径＞5mm，得3分；5mm≥圆弧倒角半径≥1mm，得2分；其它得0分。（投标人需提供加盖投标人公章的产品彩页或所投标品牌的国内或国外官方网站体现该投标型号对应的规格参数的网页截</w:t>
            </w:r>
            <w:r>
              <w:rPr>
                <w:rFonts w:hint="eastAsia" w:ascii="宋体" w:hAnsi="宋体" w:cs="宋体"/>
                <w:color w:val="auto"/>
                <w:kern w:val="0"/>
                <w:sz w:val="24"/>
                <w:szCs w:val="24"/>
                <w:highlight w:val="none"/>
              </w:rPr>
              <w:t>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4B6B4667">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0AD3C54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A2910E4">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1-15</w:t>
            </w:r>
          </w:p>
        </w:tc>
        <w:tc>
          <w:tcPr>
            <w:tcW w:w="6838" w:type="dxa"/>
            <w:tcBorders>
              <w:top w:val="single" w:color="auto" w:sz="4" w:space="0"/>
              <w:left w:val="single" w:color="auto" w:sz="4" w:space="0"/>
              <w:bottom w:val="single" w:color="auto" w:sz="4" w:space="0"/>
              <w:right w:val="single" w:color="auto" w:sz="4" w:space="0"/>
            </w:tcBorders>
            <w:vAlign w:val="center"/>
          </w:tcPr>
          <w:p w14:paraId="5DD72606">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1-1的</w:t>
            </w:r>
            <w:r>
              <w:rPr>
                <w:rStyle w:val="17"/>
                <w:rFonts w:hint="default" w:asciiTheme="minorEastAsia" w:hAnsiTheme="minorEastAsia" w:eastAsiaTheme="minorEastAsia"/>
                <w:color w:val="auto"/>
                <w:sz w:val="24"/>
                <w:szCs w:val="24"/>
                <w:highlight w:val="none"/>
              </w:rPr>
              <w:t>附加功能</w:t>
            </w:r>
            <w:r>
              <w:rPr>
                <w:rStyle w:val="19"/>
                <w:rFonts w:hint="default" w:asciiTheme="minorEastAsia" w:hAnsiTheme="minorEastAsia" w:eastAsiaTheme="minorEastAsia"/>
                <w:color w:val="auto"/>
                <w:sz w:val="24"/>
                <w:szCs w:val="24"/>
                <w:highlight w:val="none"/>
              </w:rPr>
              <w:t>进行评价，软件具备虚拟黑板功能或者幕布功能，截取实物展示的某一重点内容在虚拟黑板模式下进行单独批注讲解，板书支持保存和二次打开、编辑的得2分，否则得0分。（投标人需提供加盖投标人公章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3A504C17">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2</w:t>
            </w:r>
          </w:p>
        </w:tc>
      </w:tr>
      <w:tr w14:paraId="4FCFF92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E536B83">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1-16</w:t>
            </w:r>
          </w:p>
        </w:tc>
        <w:tc>
          <w:tcPr>
            <w:tcW w:w="6838" w:type="dxa"/>
            <w:tcBorders>
              <w:top w:val="single" w:color="auto" w:sz="4" w:space="0"/>
              <w:left w:val="single" w:color="auto" w:sz="4" w:space="0"/>
              <w:bottom w:val="single" w:color="auto" w:sz="4" w:space="0"/>
              <w:right w:val="single" w:color="auto" w:sz="4" w:space="0"/>
            </w:tcBorders>
            <w:vAlign w:val="center"/>
          </w:tcPr>
          <w:p w14:paraId="23099463">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ascii="宋体" w:hAnsi="宋体" w:cs="宋体"/>
                <w:color w:val="auto"/>
                <w:kern w:val="0"/>
                <w:sz w:val="24"/>
                <w:szCs w:val="24"/>
                <w:highlight w:val="none"/>
              </w:rPr>
              <w:t>根据投标设备中品目号</w:t>
            </w:r>
            <w:r>
              <w:rPr>
                <w:rFonts w:ascii="宋体" w:hAnsi="宋体" w:cs="宋体"/>
                <w:color w:val="auto"/>
                <w:kern w:val="0"/>
                <w:sz w:val="24"/>
                <w:szCs w:val="24"/>
                <w:highlight w:val="none"/>
              </w:rPr>
              <w:t>1-2的主杆高低可针对A3/A4幅面进行拉</w:t>
            </w:r>
            <w:r>
              <w:rPr>
                <w:rFonts w:hint="eastAsia" w:ascii="宋体" w:hAnsi="宋体" w:cs="宋体"/>
                <w:color w:val="auto"/>
                <w:kern w:val="0"/>
                <w:sz w:val="24"/>
                <w:szCs w:val="24"/>
                <w:highlight w:val="none"/>
              </w:rPr>
              <w:t>升调节进行评价。有</w:t>
            </w:r>
            <w:r>
              <w:rPr>
                <w:rFonts w:ascii="宋体" w:hAnsi="宋体" w:cs="宋体"/>
                <w:color w:val="auto"/>
                <w:kern w:val="0"/>
                <w:sz w:val="24"/>
                <w:szCs w:val="24"/>
                <w:highlight w:val="none"/>
              </w:rPr>
              <w:t>A3/A4幅面标识实现A3/A4幅面自由转换的得3分，其余得0分。（投标人需提供加盖投标人公章的产品彩页或所投标品牌的国内或国外官方网站体现该投标型号对应的规格参数的网页截</w:t>
            </w:r>
            <w:r>
              <w:rPr>
                <w:rFonts w:hint="eastAsia" w:ascii="宋体" w:hAnsi="宋体" w:cs="宋体"/>
                <w:color w:val="auto"/>
                <w:kern w:val="0"/>
                <w:sz w:val="24"/>
                <w:szCs w:val="24"/>
                <w:highlight w:val="none"/>
              </w:rPr>
              <w:t>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333DC113">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3990D78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E5EF609">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1-17</w:t>
            </w:r>
          </w:p>
        </w:tc>
        <w:tc>
          <w:tcPr>
            <w:tcW w:w="6838" w:type="dxa"/>
            <w:tcBorders>
              <w:top w:val="single" w:color="auto" w:sz="4" w:space="0"/>
              <w:left w:val="single" w:color="auto" w:sz="4" w:space="0"/>
              <w:bottom w:val="single" w:color="auto" w:sz="4" w:space="0"/>
              <w:right w:val="single" w:color="auto" w:sz="4" w:space="0"/>
            </w:tcBorders>
            <w:vAlign w:val="center"/>
          </w:tcPr>
          <w:p w14:paraId="77EAC992">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1-2的</w:t>
            </w:r>
            <w:r>
              <w:rPr>
                <w:rStyle w:val="17"/>
                <w:rFonts w:hint="default" w:asciiTheme="minorEastAsia" w:hAnsiTheme="minorEastAsia" w:eastAsiaTheme="minorEastAsia"/>
                <w:color w:val="auto"/>
                <w:sz w:val="24"/>
                <w:szCs w:val="24"/>
                <w:highlight w:val="none"/>
              </w:rPr>
              <w:t>附加功能</w:t>
            </w:r>
            <w:r>
              <w:rPr>
                <w:rStyle w:val="19"/>
                <w:rFonts w:hint="default" w:asciiTheme="minorEastAsia" w:hAnsiTheme="minorEastAsia" w:eastAsiaTheme="minorEastAsia"/>
                <w:color w:val="auto"/>
                <w:sz w:val="24"/>
                <w:szCs w:val="24"/>
                <w:highlight w:val="none"/>
              </w:rPr>
              <w:t>进行评价，软件图像管理功能：拍摄时提供多种图片格式选择，可自定义设置图像存储路径的得3分，否则得0分。（投标人需提供加盖投标人公章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6AA72926">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15FAEEE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65F1FB8">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1-18</w:t>
            </w:r>
          </w:p>
        </w:tc>
        <w:tc>
          <w:tcPr>
            <w:tcW w:w="6838" w:type="dxa"/>
            <w:tcBorders>
              <w:top w:val="single" w:color="auto" w:sz="4" w:space="0"/>
              <w:left w:val="single" w:color="auto" w:sz="4" w:space="0"/>
              <w:bottom w:val="single" w:color="auto" w:sz="4" w:space="0"/>
              <w:right w:val="single" w:color="auto" w:sz="4" w:space="0"/>
            </w:tcBorders>
            <w:vAlign w:val="center"/>
          </w:tcPr>
          <w:p w14:paraId="7DE9AD7C">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w:t>
            </w:r>
            <w:r>
              <w:rPr>
                <w:rFonts w:cs="宋体" w:asciiTheme="minorEastAsia" w:hAnsiTheme="minorEastAsia" w:eastAsiaTheme="minorEastAsia"/>
                <w:color w:val="auto"/>
                <w:kern w:val="0"/>
                <w:sz w:val="24"/>
                <w:szCs w:val="24"/>
                <w:highlight w:val="none"/>
              </w:rPr>
              <w:t>1-2的</w:t>
            </w:r>
            <w:r>
              <w:rPr>
                <w:rStyle w:val="17"/>
                <w:rFonts w:hint="default" w:asciiTheme="minorEastAsia" w:hAnsiTheme="minorEastAsia" w:eastAsiaTheme="minorEastAsia"/>
                <w:color w:val="auto"/>
                <w:sz w:val="24"/>
                <w:szCs w:val="24"/>
                <w:highlight w:val="none"/>
              </w:rPr>
              <w:t>附加功能</w:t>
            </w:r>
            <w:r>
              <w:rPr>
                <w:rStyle w:val="19"/>
                <w:rFonts w:hint="default" w:asciiTheme="minorEastAsia" w:hAnsiTheme="minorEastAsia" w:eastAsiaTheme="minorEastAsia"/>
                <w:color w:val="auto"/>
                <w:sz w:val="24"/>
                <w:szCs w:val="24"/>
                <w:highlight w:val="none"/>
              </w:rPr>
              <w:t>进行评价。具备虚拟黑板功能或者幕布功能，截取实物展示的某一重点内容在虚拟黑板模式下进行单独批注讲解，板书支持保存和二次打开、编辑的得2分，否则得0分。（投标人需提供加盖投标人公章的产品彩页或所投标品牌的国内或国外官方网站体现该投标型号对应的规格参数的网页截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0E362FA6">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2</w:t>
            </w:r>
          </w:p>
        </w:tc>
      </w:tr>
      <w:tr w14:paraId="740C59D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1B0FA2F">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1-19</w:t>
            </w:r>
          </w:p>
        </w:tc>
        <w:tc>
          <w:tcPr>
            <w:tcW w:w="6838" w:type="dxa"/>
            <w:tcBorders>
              <w:top w:val="single" w:color="auto" w:sz="4" w:space="0"/>
              <w:left w:val="single" w:color="auto" w:sz="4" w:space="0"/>
              <w:bottom w:val="single" w:color="auto" w:sz="4" w:space="0"/>
              <w:right w:val="single" w:color="auto" w:sz="4" w:space="0"/>
            </w:tcBorders>
            <w:vAlign w:val="center"/>
          </w:tcPr>
          <w:p w14:paraId="6AA9DBFD">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ascii="宋体" w:hAnsi="宋体" w:cs="宋体"/>
                <w:color w:val="auto"/>
                <w:kern w:val="0"/>
                <w:sz w:val="24"/>
                <w:szCs w:val="24"/>
                <w:highlight w:val="none"/>
              </w:rPr>
              <w:t>根据投标设备中品目号</w:t>
            </w:r>
            <w:r>
              <w:rPr>
                <w:rFonts w:ascii="宋体" w:hAnsi="宋体" w:cs="宋体"/>
                <w:color w:val="auto"/>
                <w:kern w:val="0"/>
                <w:sz w:val="24"/>
                <w:szCs w:val="24"/>
                <w:highlight w:val="none"/>
              </w:rPr>
              <w:t>1-3的附加功能进行评价。</w:t>
            </w:r>
            <w:r>
              <w:rPr>
                <w:rFonts w:hint="eastAsia" w:ascii="宋体" w:hAnsi="宋体" w:cs="宋体"/>
                <w:color w:val="auto"/>
                <w:kern w:val="0"/>
                <w:sz w:val="24"/>
                <w:szCs w:val="24"/>
                <w:highlight w:val="none"/>
              </w:rPr>
              <w:t>高拍仪头壳上部有挡光板，补光灯具备</w:t>
            </w:r>
            <w:r>
              <w:rPr>
                <w:rFonts w:ascii="宋体" w:hAnsi="宋体" w:cs="宋体"/>
                <w:color w:val="auto"/>
                <w:kern w:val="0"/>
                <w:sz w:val="24"/>
                <w:szCs w:val="24"/>
                <w:highlight w:val="none"/>
              </w:rPr>
              <w:t>16颗灯珠两组以上的补光控制方式，且镜头可通过旋转方式透光，达到防反光状态的得3分，否则得0分。（投标人需提供加盖投标人公章的产品彩页或所投标品牌的国内或国外官方网站体现该投标型号对应的规格参数的网页截</w:t>
            </w:r>
            <w:r>
              <w:rPr>
                <w:rFonts w:hint="eastAsia" w:ascii="宋体" w:hAnsi="宋体" w:cs="宋体"/>
                <w:color w:val="auto"/>
                <w:kern w:val="0"/>
                <w:sz w:val="24"/>
                <w:szCs w:val="24"/>
                <w:highlight w:val="none"/>
              </w:rPr>
              <w:t>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6772A8D0">
            <w:pPr>
              <w:tabs>
                <w:tab w:val="left" w:pos="-1080"/>
                <w:tab w:val="left" w:pos="180"/>
                <w:tab w:val="left" w:pos="1080"/>
                <w:tab w:val="left" w:pos="2370"/>
              </w:tabs>
              <w:spacing w:line="360" w:lineRule="auto"/>
              <w:ind w:left="420" w:leftChars="200"/>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5A1AB42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0F75DBC">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1-20</w:t>
            </w:r>
          </w:p>
        </w:tc>
        <w:tc>
          <w:tcPr>
            <w:tcW w:w="6838" w:type="dxa"/>
            <w:tcBorders>
              <w:top w:val="single" w:color="auto" w:sz="4" w:space="0"/>
              <w:left w:val="single" w:color="auto" w:sz="4" w:space="0"/>
              <w:bottom w:val="single" w:color="auto" w:sz="4" w:space="0"/>
              <w:right w:val="single" w:color="auto" w:sz="4" w:space="0"/>
            </w:tcBorders>
            <w:vAlign w:val="center"/>
          </w:tcPr>
          <w:p w14:paraId="0C99A819">
            <w:pPr>
              <w:tabs>
                <w:tab w:val="left" w:pos="-1080"/>
                <w:tab w:val="left" w:pos="180"/>
                <w:tab w:val="left" w:pos="1080"/>
                <w:tab w:val="left" w:pos="2370"/>
              </w:tabs>
              <w:spacing w:line="360" w:lineRule="auto"/>
              <w:rPr>
                <w:rFonts w:ascii="宋体" w:hAnsi="宋体" w:cs="宋体"/>
                <w:bCs/>
                <w:color w:val="auto"/>
                <w:sz w:val="24"/>
                <w:szCs w:val="24"/>
                <w:highlight w:val="none"/>
              </w:rPr>
            </w:pPr>
            <w:r>
              <w:rPr>
                <w:rFonts w:hint="eastAsia" w:ascii="宋体" w:hAnsi="宋体" w:cs="宋体"/>
                <w:color w:val="auto"/>
                <w:kern w:val="0"/>
                <w:sz w:val="24"/>
                <w:szCs w:val="24"/>
                <w:highlight w:val="none"/>
              </w:rPr>
              <w:t>根据投标设备品目号</w:t>
            </w:r>
            <w:r>
              <w:rPr>
                <w:rFonts w:ascii="宋体" w:hAnsi="宋体" w:cs="宋体"/>
                <w:color w:val="auto"/>
                <w:kern w:val="0"/>
                <w:sz w:val="24"/>
                <w:szCs w:val="24"/>
                <w:highlight w:val="none"/>
              </w:rPr>
              <w:t>1-4的附加功能进行评价。</w:t>
            </w:r>
            <w:r>
              <w:rPr>
                <w:rFonts w:hint="eastAsia" w:ascii="宋体" w:hAnsi="宋体" w:cs="宋体"/>
                <w:color w:val="auto"/>
                <w:kern w:val="0"/>
                <w:sz w:val="24"/>
                <w:szCs w:val="24"/>
                <w:highlight w:val="none"/>
              </w:rPr>
              <w:t>高拍仪头壳上部有挡光板，补光灯</w:t>
            </w:r>
            <w:r>
              <w:rPr>
                <w:rFonts w:ascii="宋体" w:hAnsi="宋体" w:cs="宋体"/>
                <w:color w:val="auto"/>
                <w:kern w:val="0"/>
                <w:sz w:val="24"/>
                <w:szCs w:val="24"/>
                <w:highlight w:val="none"/>
              </w:rPr>
              <w:t>16颗灯珠两组以上的补光控制方式，且镜头通过旋转方式透光，达到防反光状态的得3分，否则得0分。（投标人需提供加盖投标人公章的产品彩页或所投标品牌的国内或国外官方网站体现该投标型号对应的规格参数的网页截</w:t>
            </w:r>
            <w:r>
              <w:rPr>
                <w:rFonts w:hint="eastAsia" w:ascii="宋体" w:hAnsi="宋体" w:cs="宋体"/>
                <w:color w:val="auto"/>
                <w:kern w:val="0"/>
                <w:sz w:val="24"/>
                <w:szCs w:val="24"/>
                <w:highlight w:val="none"/>
              </w:rPr>
              <w:t>图或者复印件）。若投标人为联合体投标的，联合体中的一方盖章即可。</w:t>
            </w:r>
          </w:p>
        </w:tc>
        <w:tc>
          <w:tcPr>
            <w:tcW w:w="898" w:type="dxa"/>
            <w:tcBorders>
              <w:top w:val="single" w:color="auto" w:sz="4" w:space="0"/>
              <w:left w:val="single" w:color="auto" w:sz="4" w:space="0"/>
              <w:bottom w:val="single" w:color="auto" w:sz="4" w:space="0"/>
              <w:right w:val="single" w:color="auto" w:sz="4" w:space="0"/>
            </w:tcBorders>
            <w:vAlign w:val="center"/>
          </w:tcPr>
          <w:p w14:paraId="2928C987">
            <w:pPr>
              <w:tabs>
                <w:tab w:val="left" w:pos="-1080"/>
                <w:tab w:val="left" w:pos="180"/>
                <w:tab w:val="left" w:pos="1080"/>
                <w:tab w:val="left" w:pos="237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bl>
    <w:p w14:paraId="6362E41F">
      <w:pPr>
        <w:tabs>
          <w:tab w:val="left" w:pos="-1080"/>
          <w:tab w:val="left" w:pos="180"/>
          <w:tab w:val="left" w:pos="1080"/>
        </w:tabs>
        <w:spacing w:line="360" w:lineRule="auto"/>
        <w:rPr>
          <w:rFonts w:ascii="宋体" w:hAnsi="宋体" w:cs="宋体"/>
          <w:color w:val="auto"/>
          <w:sz w:val="24"/>
          <w:szCs w:val="24"/>
          <w:highlight w:val="none"/>
        </w:rPr>
      </w:pPr>
    </w:p>
    <w:p w14:paraId="4197CFF2">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（二）商务评分(F2)：按15分评分法，商务评分考虑下列因素：</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6838"/>
        <w:gridCol w:w="898"/>
      </w:tblGrid>
      <w:tr w14:paraId="276A2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vAlign w:val="center"/>
          </w:tcPr>
          <w:p w14:paraId="60FDBCDF">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序号</w:t>
            </w:r>
          </w:p>
        </w:tc>
        <w:tc>
          <w:tcPr>
            <w:tcW w:w="6838" w:type="dxa"/>
            <w:vAlign w:val="center"/>
          </w:tcPr>
          <w:p w14:paraId="33107CDA">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细则内容</w:t>
            </w:r>
          </w:p>
        </w:tc>
        <w:tc>
          <w:tcPr>
            <w:tcW w:w="898" w:type="dxa"/>
            <w:vAlign w:val="center"/>
          </w:tcPr>
          <w:p w14:paraId="69E85003">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满分</w:t>
            </w:r>
          </w:p>
          <w:p w14:paraId="47F65147">
            <w:pPr>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分值</w:t>
            </w:r>
          </w:p>
        </w:tc>
      </w:tr>
      <w:tr w14:paraId="6BDF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vAlign w:val="center"/>
          </w:tcPr>
          <w:p w14:paraId="66AA2E38">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1-1</w:t>
            </w:r>
          </w:p>
        </w:tc>
        <w:tc>
          <w:tcPr>
            <w:tcW w:w="6838" w:type="dxa"/>
            <w:vAlign w:val="center"/>
          </w:tcPr>
          <w:p w14:paraId="2C9AC9D9">
            <w:pPr>
              <w:spacing w:line="360" w:lineRule="auto"/>
              <w:rPr>
                <w:rFonts w:ascii="宋体" w:hAnsi="宋体" w:cs="宋体"/>
                <w:bCs/>
                <w:color w:val="auto"/>
                <w:sz w:val="24"/>
                <w:szCs w:val="24"/>
                <w:highlight w:val="none"/>
              </w:rPr>
            </w:pPr>
            <w:r>
              <w:rPr>
                <w:rFonts w:hint="eastAsia" w:ascii="宋体" w:hAnsi="宋体" w:cs="宋体"/>
                <w:color w:val="auto"/>
                <w:kern w:val="0"/>
                <w:sz w:val="24"/>
                <w:szCs w:val="24"/>
                <w:highlight w:val="none"/>
              </w:rPr>
              <w:t>根据投标人是否为投标产品的制造商、制造商的关联企业、联合体或代理商进行评分。投标人为投标品目号</w:t>
            </w:r>
            <w:r>
              <w:rPr>
                <w:rFonts w:ascii="宋体" w:hAnsi="宋体" w:cs="宋体"/>
                <w:color w:val="auto"/>
                <w:kern w:val="0"/>
                <w:sz w:val="24"/>
                <w:szCs w:val="24"/>
                <w:highlight w:val="none"/>
              </w:rPr>
              <w:t>1-1至1-4任</w:t>
            </w:r>
            <w:r>
              <w:rPr>
                <w:rFonts w:hint="eastAsia" w:ascii="宋体" w:hAnsi="宋体" w:cs="宋体"/>
                <w:color w:val="auto"/>
                <w:kern w:val="0"/>
                <w:sz w:val="24"/>
                <w:szCs w:val="24"/>
                <w:highlight w:val="none"/>
              </w:rPr>
              <w:t>一产品的制造商或者制造商关联或联合体投标企业得</w:t>
            </w:r>
            <w:r>
              <w:rPr>
                <w:rFonts w:ascii="宋体" w:hAnsi="宋体" w:cs="宋体"/>
                <w:color w:val="auto"/>
                <w:kern w:val="0"/>
                <w:sz w:val="24"/>
                <w:szCs w:val="24"/>
                <w:highlight w:val="none"/>
              </w:rPr>
              <w:t>3分；投标人为品目号1-1至1-4任</w:t>
            </w:r>
            <w:r>
              <w:rPr>
                <w:rFonts w:hint="eastAsia" w:ascii="宋体" w:hAnsi="宋体" w:cs="宋体"/>
                <w:color w:val="auto"/>
                <w:kern w:val="0"/>
                <w:sz w:val="24"/>
                <w:szCs w:val="24"/>
                <w:highlight w:val="none"/>
              </w:rPr>
              <w:t>一产品的代理商投标得</w:t>
            </w:r>
            <w:r>
              <w:rPr>
                <w:rFonts w:ascii="宋体" w:hAnsi="宋体" w:cs="宋体"/>
                <w:color w:val="auto"/>
                <w:kern w:val="0"/>
                <w:sz w:val="24"/>
                <w:szCs w:val="24"/>
                <w:highlight w:val="none"/>
              </w:rPr>
              <w:t>2分，其余情况得0分。(得分可并列）备注：联合体投标的，联合体一方必须是投标产品的制造商或制造商的关联企业，凡属制造商的关联企业，其关联关系应符合《企业会计准则第36号—关联方披露（2006）》（财会[2006]3号）中“关联方关系”的要求，投标人应在投标文件中按后附格式提供《关联企业证明》</w:t>
            </w:r>
            <w:r>
              <w:rPr>
                <w:rFonts w:hint="eastAsia" w:ascii="宋体" w:hAnsi="宋体" w:cs="宋体"/>
                <w:color w:val="auto"/>
                <w:kern w:val="0"/>
                <w:sz w:val="24"/>
                <w:szCs w:val="24"/>
                <w:highlight w:val="none"/>
              </w:rPr>
              <w:t>复印件。</w:t>
            </w:r>
          </w:p>
        </w:tc>
        <w:tc>
          <w:tcPr>
            <w:tcW w:w="898" w:type="dxa"/>
            <w:vAlign w:val="center"/>
          </w:tcPr>
          <w:p w14:paraId="1815627B">
            <w:pPr>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60A96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vAlign w:val="center"/>
          </w:tcPr>
          <w:p w14:paraId="2B16DCB8">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1-2</w:t>
            </w:r>
          </w:p>
        </w:tc>
        <w:tc>
          <w:tcPr>
            <w:tcW w:w="6838" w:type="dxa"/>
            <w:vAlign w:val="center"/>
          </w:tcPr>
          <w:p w14:paraId="7B90B14E">
            <w:pPr>
              <w:spacing w:line="360" w:lineRule="auto"/>
              <w:rPr>
                <w:rFonts w:ascii="宋体" w:hAnsi="宋体" w:cs="宋体"/>
                <w:bCs/>
                <w:color w:val="auto"/>
                <w:sz w:val="24"/>
                <w:szCs w:val="24"/>
                <w:highlight w:val="none"/>
              </w:rPr>
            </w:pPr>
            <w:r>
              <w:rPr>
                <w:rStyle w:val="19"/>
                <w:rFonts w:hint="default"/>
                <w:color w:val="auto"/>
                <w:sz w:val="24"/>
                <w:szCs w:val="24"/>
                <w:highlight w:val="none"/>
              </w:rPr>
              <w:t>投标人承诺中标后在</w:t>
            </w:r>
            <w:r>
              <w:rPr>
                <w:rStyle w:val="17"/>
                <w:rFonts w:hint="default"/>
                <w:color w:val="auto"/>
                <w:sz w:val="24"/>
                <w:szCs w:val="24"/>
                <w:highlight w:val="none"/>
              </w:rPr>
              <w:t>厦门</w:t>
            </w:r>
            <w:r>
              <w:rPr>
                <w:rStyle w:val="19"/>
                <w:rFonts w:hint="default"/>
                <w:color w:val="auto"/>
                <w:sz w:val="24"/>
                <w:szCs w:val="24"/>
                <w:highlight w:val="none"/>
              </w:rPr>
              <w:t>提供售后服务网点的得3分；不提供的得0分。投标人需提供相关证明材料，否则不得分。若投标人为联合体投标的，联合体中的一方盖章即可。</w:t>
            </w:r>
          </w:p>
        </w:tc>
        <w:tc>
          <w:tcPr>
            <w:tcW w:w="898" w:type="dxa"/>
            <w:vAlign w:val="center"/>
          </w:tcPr>
          <w:p w14:paraId="2A1ACFE9">
            <w:pPr>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010C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vAlign w:val="center"/>
          </w:tcPr>
          <w:p w14:paraId="3F9C1FA4">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1-3</w:t>
            </w:r>
          </w:p>
        </w:tc>
        <w:tc>
          <w:tcPr>
            <w:tcW w:w="6838" w:type="dxa"/>
            <w:vAlign w:val="center"/>
          </w:tcPr>
          <w:p w14:paraId="3855214C">
            <w:pPr>
              <w:spacing w:line="360" w:lineRule="auto"/>
              <w:rPr>
                <w:rFonts w:ascii="宋体" w:hAnsi="宋体" w:cs="宋体"/>
                <w:bCs/>
                <w:color w:val="auto"/>
                <w:sz w:val="24"/>
                <w:szCs w:val="24"/>
                <w:highlight w:val="none"/>
              </w:rPr>
            </w:pPr>
            <w:r>
              <w:rPr>
                <w:rFonts w:hint="eastAsia" w:ascii="宋体" w:hAnsi="宋体" w:cs="宋体"/>
                <w:color w:val="auto"/>
                <w:kern w:val="0"/>
                <w:sz w:val="24"/>
                <w:szCs w:val="24"/>
                <w:highlight w:val="none"/>
              </w:rPr>
              <w:t>根据投标人投标产品提供的</w:t>
            </w:r>
            <w:r>
              <w:rPr>
                <w:rFonts w:ascii="宋体" w:hAnsi="宋体" w:cs="宋体"/>
                <w:color w:val="auto"/>
                <w:kern w:val="0"/>
                <w:sz w:val="24"/>
                <w:szCs w:val="24"/>
                <w:highlight w:val="none"/>
              </w:rPr>
              <w:t>3C证书生厂商和制造商为同一企业进行评价。品目</w:t>
            </w:r>
            <w:r>
              <w:rPr>
                <w:rFonts w:hint="eastAsia" w:ascii="宋体" w:hAnsi="宋体" w:cs="宋体"/>
                <w:color w:val="auto"/>
                <w:kern w:val="0"/>
                <w:sz w:val="24"/>
                <w:szCs w:val="24"/>
                <w:highlight w:val="none"/>
              </w:rPr>
              <w:t>号</w:t>
            </w:r>
            <w:r>
              <w:rPr>
                <w:rFonts w:ascii="宋体" w:hAnsi="宋体" w:cs="宋体"/>
                <w:color w:val="auto"/>
                <w:kern w:val="0"/>
                <w:sz w:val="24"/>
                <w:szCs w:val="24"/>
                <w:highlight w:val="none"/>
              </w:rPr>
              <w:t>1-1至1-4产品3C证书生产厂商和制造商（或关联企业）分别均一致得3分，品目</w:t>
            </w:r>
            <w:r>
              <w:rPr>
                <w:rFonts w:hint="eastAsia" w:ascii="宋体" w:hAnsi="宋体" w:cs="宋体"/>
                <w:color w:val="auto"/>
                <w:kern w:val="0"/>
                <w:sz w:val="24"/>
                <w:szCs w:val="24"/>
                <w:highlight w:val="none"/>
              </w:rPr>
              <w:t>号</w:t>
            </w:r>
            <w:r>
              <w:rPr>
                <w:rFonts w:ascii="宋体" w:hAnsi="宋体" w:cs="宋体"/>
                <w:color w:val="auto"/>
                <w:kern w:val="0"/>
                <w:sz w:val="24"/>
                <w:szCs w:val="24"/>
                <w:highlight w:val="none"/>
              </w:rPr>
              <w:t>1-1至1-2产品3C证书生产厂商和制造商（或关联企业）分别均一致得2分；品目</w:t>
            </w:r>
            <w:r>
              <w:rPr>
                <w:rFonts w:hint="eastAsia" w:ascii="宋体" w:hAnsi="宋体" w:cs="宋体"/>
                <w:color w:val="auto"/>
                <w:kern w:val="0"/>
                <w:sz w:val="24"/>
                <w:szCs w:val="24"/>
                <w:highlight w:val="none"/>
              </w:rPr>
              <w:t>号</w:t>
            </w:r>
            <w:r>
              <w:rPr>
                <w:rFonts w:ascii="宋体" w:hAnsi="宋体" w:cs="宋体"/>
                <w:color w:val="auto"/>
                <w:kern w:val="0"/>
                <w:sz w:val="24"/>
                <w:szCs w:val="24"/>
                <w:highlight w:val="none"/>
              </w:rPr>
              <w:t>1-2至1-4产品3C证书生产厂商和制造商（或关联企业）分别均一致得1分；其余得0分。（需提供品目项1-1至1-4产品的3C证书复印件或国家市场监督管理总局官网截图的《强制性认证产品符合性自我声明》）。若投标人为联合体投标的，联合体中的一方盖章即可。</w:t>
            </w:r>
          </w:p>
        </w:tc>
        <w:tc>
          <w:tcPr>
            <w:tcW w:w="898" w:type="dxa"/>
            <w:vAlign w:val="center"/>
          </w:tcPr>
          <w:p w14:paraId="7039A2B7">
            <w:pPr>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0848C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vAlign w:val="center"/>
          </w:tcPr>
          <w:p w14:paraId="18D4FD7A">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1-4</w:t>
            </w:r>
          </w:p>
        </w:tc>
        <w:tc>
          <w:tcPr>
            <w:tcW w:w="6838" w:type="dxa"/>
            <w:vAlign w:val="center"/>
          </w:tcPr>
          <w:p w14:paraId="0D96EEA8">
            <w:pPr>
              <w:tabs>
                <w:tab w:val="left" w:pos="-1080"/>
                <w:tab w:val="left" w:pos="180"/>
                <w:tab w:val="left" w:pos="1080"/>
              </w:tabs>
              <w:spacing w:line="360" w:lineRule="auto"/>
              <w:rPr>
                <w:rFonts w:ascii="宋体" w:hAnsi="宋体" w:cs="宋体"/>
                <w:bCs/>
                <w:color w:val="auto"/>
                <w:sz w:val="24"/>
                <w:szCs w:val="24"/>
                <w:highlight w:val="none"/>
              </w:rPr>
            </w:pPr>
            <w:r>
              <w:rPr>
                <w:rFonts w:hint="eastAsia" w:ascii="宋体" w:hAnsi="宋体" w:cs="宋体"/>
                <w:color w:val="auto"/>
                <w:kern w:val="0"/>
                <w:sz w:val="24"/>
                <w:szCs w:val="24"/>
                <w:highlight w:val="none"/>
              </w:rPr>
              <w:t>根据投标人投标品目号</w:t>
            </w:r>
            <w:r>
              <w:rPr>
                <w:rFonts w:ascii="宋体" w:hAnsi="宋体" w:cs="宋体"/>
                <w:color w:val="auto"/>
                <w:kern w:val="0"/>
                <w:sz w:val="24"/>
                <w:szCs w:val="24"/>
                <w:highlight w:val="none"/>
              </w:rPr>
              <w:t>1-1至1-4产品全部满足品牌3年内是否有同行代工企业</w:t>
            </w:r>
            <w:r>
              <w:rPr>
                <w:rFonts w:hint="eastAsia" w:ascii="宋体" w:hAnsi="宋体" w:cs="宋体"/>
                <w:color w:val="auto"/>
                <w:kern w:val="0"/>
                <w:sz w:val="24"/>
                <w:szCs w:val="24"/>
                <w:highlight w:val="none"/>
              </w:rPr>
              <w:t>高拍仪进行评价。代工品牌≥</w:t>
            </w:r>
            <w:r>
              <w:rPr>
                <w:rFonts w:ascii="宋体" w:hAnsi="宋体" w:cs="宋体"/>
                <w:color w:val="auto"/>
                <w:kern w:val="0"/>
                <w:sz w:val="24"/>
                <w:szCs w:val="24"/>
                <w:highlight w:val="none"/>
              </w:rPr>
              <w:t>3个，得3分；代</w:t>
            </w:r>
            <w:r>
              <w:rPr>
                <w:rFonts w:hint="eastAsia" w:ascii="宋体" w:hAnsi="宋体" w:cs="宋体"/>
                <w:color w:val="auto"/>
                <w:kern w:val="0"/>
                <w:sz w:val="24"/>
                <w:szCs w:val="24"/>
                <w:highlight w:val="none"/>
              </w:rPr>
              <w:t>工品牌≥</w:t>
            </w:r>
            <w:r>
              <w:rPr>
                <w:rFonts w:ascii="宋体" w:hAnsi="宋体" w:cs="宋体"/>
                <w:color w:val="auto"/>
                <w:kern w:val="0"/>
                <w:sz w:val="24"/>
                <w:szCs w:val="24"/>
                <w:highlight w:val="none"/>
              </w:rPr>
              <w:t>2个，得2分；代</w:t>
            </w:r>
            <w:r>
              <w:rPr>
                <w:rFonts w:hint="eastAsia" w:ascii="宋体" w:hAnsi="宋体" w:cs="宋体"/>
                <w:color w:val="auto"/>
                <w:kern w:val="0"/>
                <w:sz w:val="24"/>
                <w:szCs w:val="24"/>
                <w:highlight w:val="none"/>
              </w:rPr>
              <w:t>工品牌≥</w:t>
            </w:r>
            <w:r>
              <w:rPr>
                <w:rFonts w:ascii="宋体" w:hAnsi="宋体" w:cs="宋体"/>
                <w:color w:val="auto"/>
                <w:kern w:val="0"/>
                <w:sz w:val="24"/>
                <w:szCs w:val="24"/>
                <w:highlight w:val="none"/>
              </w:rPr>
              <w:t>1个，得1分；其余得0分。（需提供代</w:t>
            </w:r>
            <w:r>
              <w:rPr>
                <w:rFonts w:hint="eastAsia" w:ascii="宋体" w:hAnsi="宋体" w:cs="宋体"/>
                <w:color w:val="auto"/>
                <w:kern w:val="0"/>
                <w:sz w:val="24"/>
                <w:szCs w:val="24"/>
                <w:highlight w:val="none"/>
              </w:rPr>
              <w:t>工品牌</w:t>
            </w:r>
            <w:r>
              <w:rPr>
                <w:rFonts w:ascii="宋体" w:hAnsi="宋体" w:cs="宋体"/>
                <w:color w:val="auto"/>
                <w:kern w:val="0"/>
                <w:sz w:val="24"/>
                <w:szCs w:val="24"/>
                <w:highlight w:val="none"/>
              </w:rPr>
              <w:t>3C证书复印件或者国家市场监督管理总局官网截图的《强制性认证产品符合性自我声明》，生产企业为投标品牌同一企业）。若</w:t>
            </w:r>
            <w:r>
              <w:rPr>
                <w:rFonts w:hint="eastAsia" w:ascii="宋体" w:hAnsi="宋体" w:cs="宋体"/>
                <w:color w:val="auto"/>
                <w:kern w:val="0"/>
                <w:sz w:val="24"/>
                <w:szCs w:val="24"/>
                <w:highlight w:val="none"/>
              </w:rPr>
              <w:t>投标人为联合体投标的，联合体中的一方盖章即可。</w:t>
            </w:r>
          </w:p>
        </w:tc>
        <w:tc>
          <w:tcPr>
            <w:tcW w:w="898" w:type="dxa"/>
            <w:vAlign w:val="center"/>
          </w:tcPr>
          <w:p w14:paraId="58BB33F2">
            <w:pPr>
              <w:tabs>
                <w:tab w:val="left" w:pos="-1080"/>
                <w:tab w:val="left" w:pos="180"/>
                <w:tab w:val="left" w:pos="1080"/>
              </w:tabs>
              <w:spacing w:line="360" w:lineRule="auto"/>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r w14:paraId="7D24B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 w:type="dxa"/>
            <w:vAlign w:val="center"/>
          </w:tcPr>
          <w:p w14:paraId="0090A1BD">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1-5</w:t>
            </w:r>
          </w:p>
        </w:tc>
        <w:tc>
          <w:tcPr>
            <w:tcW w:w="6838" w:type="dxa"/>
            <w:vAlign w:val="center"/>
          </w:tcPr>
          <w:p w14:paraId="1CCB9880">
            <w:pPr>
              <w:tabs>
                <w:tab w:val="left" w:pos="720"/>
              </w:tabs>
              <w:spacing w:line="360" w:lineRule="auto"/>
              <w:ind w:right="18"/>
              <w:rPr>
                <w:rFonts w:ascii="宋体" w:hAnsi="宋体" w:cs="宋体"/>
                <w:bCs/>
                <w:color w:val="auto"/>
                <w:sz w:val="24"/>
                <w:szCs w:val="24"/>
                <w:highlight w:val="none"/>
              </w:rPr>
            </w:pPr>
            <w:r>
              <w:rPr>
                <w:rFonts w:hint="eastAsia" w:ascii="宋体" w:hAnsi="宋体" w:cs="宋体"/>
                <w:color w:val="auto"/>
                <w:kern w:val="0"/>
                <w:sz w:val="24"/>
                <w:szCs w:val="24"/>
                <w:highlight w:val="none"/>
              </w:rPr>
              <w:t>根据投标人对付款方式的支持情况进行评分</w:t>
            </w:r>
            <w:r>
              <w:rPr>
                <w:rFonts w:ascii="宋体" w:hAnsi="宋体" w:cs="宋体"/>
                <w:color w:val="auto"/>
                <w:kern w:val="0"/>
                <w:sz w:val="24"/>
                <w:szCs w:val="24"/>
                <w:highlight w:val="none"/>
              </w:rPr>
              <w:t>:</w:t>
            </w:r>
            <w:r>
              <w:rPr>
                <w:rFonts w:ascii="宋体" w:hAnsi="宋体" w:cs="宋体"/>
                <w:color w:val="auto"/>
                <w:kern w:val="0"/>
                <w:sz w:val="24"/>
                <w:szCs w:val="24"/>
                <w:highlight w:val="none"/>
              </w:rPr>
              <w:br w:type="textWrapping"/>
            </w:r>
            <w:r>
              <w:rPr>
                <w:rFonts w:hint="eastAsia" w:ascii="宋体" w:hAnsi="宋体" w:cs="宋体"/>
                <w:color w:val="auto"/>
                <w:kern w:val="0"/>
                <w:sz w:val="24"/>
                <w:szCs w:val="24"/>
                <w:highlight w:val="none"/>
              </w:rPr>
              <w:t>支持在初验合格后</w:t>
            </w:r>
            <w:r>
              <w:rPr>
                <w:rFonts w:ascii="宋体" w:hAnsi="宋体" w:cs="宋体"/>
                <w:color w:val="auto"/>
                <w:kern w:val="0"/>
                <w:sz w:val="24"/>
                <w:szCs w:val="24"/>
                <w:highlight w:val="none"/>
              </w:rPr>
              <w:t>270个日历日内支付该批次货款的全款的得3</w:t>
            </w:r>
            <w:r>
              <w:rPr>
                <w:rFonts w:hint="eastAsia" w:ascii="宋体" w:hAnsi="宋体" w:cs="宋体"/>
                <w:color w:val="auto"/>
                <w:kern w:val="0"/>
                <w:sz w:val="24"/>
                <w:szCs w:val="24"/>
                <w:highlight w:val="none"/>
              </w:rPr>
              <w:t>分；支持在初验合格后</w:t>
            </w:r>
            <w:r>
              <w:rPr>
                <w:rFonts w:ascii="宋体" w:hAnsi="宋体" w:cs="宋体"/>
                <w:color w:val="auto"/>
                <w:kern w:val="0"/>
                <w:sz w:val="24"/>
                <w:szCs w:val="24"/>
                <w:highlight w:val="none"/>
              </w:rPr>
              <w:t>240个日历日内支付该批次货款的全款的得2分；支持在初验合格后210个日历日内支付该批次货款的全款的得1分；其余得0分。投标人需提供书面承诺函并加盖投标人公章，否则不得分。若投标人为联合体投标的，联合体中的其中一方盖章即可。</w:t>
            </w:r>
          </w:p>
        </w:tc>
        <w:tc>
          <w:tcPr>
            <w:tcW w:w="898" w:type="dxa"/>
            <w:vAlign w:val="center"/>
          </w:tcPr>
          <w:p w14:paraId="32363E0F">
            <w:pPr>
              <w:tabs>
                <w:tab w:val="left" w:pos="720"/>
              </w:tabs>
              <w:spacing w:line="360" w:lineRule="auto"/>
              <w:ind w:right="18"/>
              <w:jc w:val="center"/>
              <w:rPr>
                <w:rFonts w:ascii="宋体" w:hAnsi="宋体" w:cs="宋体"/>
                <w:bCs/>
                <w:color w:val="auto"/>
                <w:sz w:val="24"/>
                <w:szCs w:val="24"/>
                <w:highlight w:val="none"/>
              </w:rPr>
            </w:pPr>
            <w:r>
              <w:rPr>
                <w:rFonts w:ascii="宋体" w:hAnsi="宋体" w:cs="宋体"/>
                <w:color w:val="auto"/>
                <w:kern w:val="0"/>
                <w:sz w:val="24"/>
                <w:szCs w:val="24"/>
                <w:highlight w:val="none"/>
              </w:rPr>
              <w:t>3</w:t>
            </w:r>
          </w:p>
        </w:tc>
      </w:tr>
    </w:tbl>
    <w:p w14:paraId="28A06B73">
      <w:pPr>
        <w:tabs>
          <w:tab w:val="left" w:pos="-1080"/>
          <w:tab w:val="left" w:pos="180"/>
          <w:tab w:val="left" w:pos="1080"/>
        </w:tabs>
        <w:spacing w:line="360" w:lineRule="auto"/>
        <w:rPr>
          <w:rFonts w:ascii="宋体" w:hAnsi="宋体" w:cs="宋体"/>
          <w:color w:val="auto"/>
          <w:sz w:val="24"/>
          <w:szCs w:val="24"/>
          <w:highlight w:val="none"/>
        </w:rPr>
      </w:pPr>
    </w:p>
    <w:p w14:paraId="1B8A3E28">
      <w:pPr>
        <w:tabs>
          <w:tab w:val="left" w:pos="-1080"/>
          <w:tab w:val="left" w:pos="180"/>
          <w:tab w:val="left" w:pos="108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（三）价格评分(F3)：按30分评分法，评标委员会对各有效标投标报价进行审核确定评标价，并将最低有效标的评标价设为基准价，定其价格得分为30分。按公式：价格得分＝30</w:t>
      </w:r>
      <w:r>
        <w:rPr>
          <w:rFonts w:hint="eastAsia" w:ascii="宋体" w:hAnsi="宋体" w:cs="宋体"/>
          <w:color w:val="auto"/>
          <w:sz w:val="24"/>
          <w:szCs w:val="24"/>
          <w:highlight w:val="none"/>
        </w:rPr>
        <w:sym w:font="Symbol" w:char="00B4"/>
      </w:r>
      <w:r>
        <w:rPr>
          <w:rFonts w:hint="eastAsia" w:ascii="宋体" w:hAnsi="宋体" w:cs="宋体"/>
          <w:color w:val="auto"/>
          <w:sz w:val="24"/>
          <w:szCs w:val="24"/>
          <w:highlight w:val="none"/>
        </w:rPr>
        <w:t>（基准价/各个通过审核的有效投标人的评标价）计算，由此算出各个通过审核的有效投标人的价格得分。</w:t>
      </w:r>
    </w:p>
    <w:p w14:paraId="7CE1327B">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1、“小型和微型企业产品”的评分政策：投标人提供的货物既有中型企业制造，也有小微企业制造的，不享受办法规定的小微企业扶持政策。</w:t>
      </w:r>
    </w:p>
    <w:p w14:paraId="5C0C5D77">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cs="宋体"/>
          <w:color w:val="auto"/>
          <w:sz w:val="24"/>
          <w:szCs w:val="24"/>
          <w:highlight w:val="none"/>
        </w:rPr>
        <w:t>%的扣除，扣除后的价格作为该投标人的评标价参与价格评分。</w:t>
      </w:r>
    </w:p>
    <w:p w14:paraId="5E1CE6D5">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14:paraId="7D388996">
      <w:pPr>
        <w:pStyle w:val="11"/>
        <w:numPr>
          <w:ilvl w:val="255"/>
          <w:numId w:val="0"/>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6A640FE7">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2、节能、环境标志产品价格扣除：</w:t>
      </w:r>
    </w:p>
    <w:p w14:paraId="33084D84">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4A6283DC">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具体要求如下：</w:t>
      </w:r>
    </w:p>
    <w:p w14:paraId="161C33FA">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4496F43D">
      <w:pPr>
        <w:numPr>
          <w:ilvl w:val="255"/>
          <w:numId w:val="0"/>
        </w:num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人应分别明确节能或环境标志产品的名称、数量、分项报价、总报价，并提供认证证书复印件，否则不予价格扣除。若节能产品、环境标志产品认证证书不能反映产品具体信息的，须提供认证证书附件。此外，若投标人对节能或环境标志产品的报价明显高于其他同类产品的报价，投标人应按评标委员会要求作出说明并提供相关证明材料，不能合理说明或不能提供相关证明材料的，不予价格扣除。</w:t>
      </w:r>
    </w:p>
    <w:p w14:paraId="7BA0F442">
      <w:pPr>
        <w:widowControl/>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若节能、环境标志产品仅是构成投标产品的部件、组件或零件，则该投标产品不享受鼓励优惠政策。属于政府强制采购的节能产品不享受价格扣除优惠。若投标产品既属于节能产品又属于环境标志产品，分别计算价格扣除优惠。</w:t>
      </w:r>
    </w:p>
    <w:p w14:paraId="4201B5D5">
      <w:pPr>
        <w:tabs>
          <w:tab w:val="left" w:pos="-1080"/>
          <w:tab w:val="left" w:pos="180"/>
          <w:tab w:val="left" w:pos="108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（四）综合得分= F1+ F2 + F3 。</w:t>
      </w:r>
    </w:p>
    <w:p w14:paraId="6B61D6C7">
      <w:pPr>
        <w:pStyle w:val="6"/>
        <w:spacing w:line="360" w:lineRule="auto"/>
        <w:ind w:firstLine="840"/>
        <w:rPr>
          <w:rFonts w:hAnsi="宋体" w:cs="宋体"/>
          <w:bCs/>
          <w:color w:val="auto"/>
          <w:sz w:val="24"/>
          <w:szCs w:val="24"/>
          <w:highlight w:val="none"/>
        </w:rPr>
      </w:pPr>
      <w:r>
        <w:rPr>
          <w:rFonts w:hint="eastAsia" w:hAnsi="宋体" w:cs="宋体"/>
          <w:bCs/>
          <w:color w:val="auto"/>
          <w:sz w:val="24"/>
          <w:szCs w:val="24"/>
          <w:highlight w:val="none"/>
        </w:rPr>
        <w:t>备注：1、技术商务评分中涉及排名情况的评分由评标委员会根据各投标人投标文件的响应情况进行综合评议得出排名。</w:t>
      </w:r>
    </w:p>
    <w:p w14:paraId="6D9CBCBA">
      <w:pPr>
        <w:pStyle w:val="6"/>
        <w:numPr>
          <w:ilvl w:val="0"/>
          <w:numId w:val="2"/>
        </w:numPr>
        <w:spacing w:line="360" w:lineRule="auto"/>
        <w:ind w:firstLine="720" w:firstLineChars="300"/>
        <w:rPr>
          <w:rFonts w:hAnsi="宋体" w:cs="宋体"/>
          <w:color w:val="auto"/>
          <w:sz w:val="24"/>
          <w:szCs w:val="24"/>
          <w:highlight w:val="none"/>
        </w:rPr>
      </w:pPr>
      <w:r>
        <w:rPr>
          <w:rFonts w:hint="eastAsia" w:hAnsi="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采购单位验收合格的相关证明文件复印件，原件备查；如未按招标文件要求提供该项业绩完整资料的，评标委员会对该项业绩将不予采信。</w:t>
      </w:r>
    </w:p>
    <w:p w14:paraId="6338179F">
      <w:pPr>
        <w:pStyle w:val="6"/>
        <w:spacing w:line="360" w:lineRule="auto"/>
        <w:rPr>
          <w:rFonts w:hAnsi="宋体" w:cs="宋体"/>
          <w:color w:val="auto"/>
          <w:sz w:val="24"/>
          <w:szCs w:val="24"/>
          <w:highlight w:val="none"/>
        </w:rPr>
      </w:pPr>
    </w:p>
    <w:p w14:paraId="2F7C3652">
      <w:pPr>
        <w:pStyle w:val="6"/>
        <w:spacing w:line="360" w:lineRule="auto"/>
        <w:rPr>
          <w:rFonts w:hAnsi="宋体" w:cs="宋体"/>
          <w:color w:val="auto"/>
          <w:sz w:val="24"/>
          <w:szCs w:val="24"/>
          <w:highlight w:val="none"/>
        </w:rPr>
      </w:pPr>
    </w:p>
    <w:p w14:paraId="77F94706">
      <w:pPr>
        <w:spacing w:line="360" w:lineRule="auto"/>
        <w:ind w:firstLine="1280" w:firstLineChars="400"/>
        <w:rPr>
          <w:rFonts w:ascii="宋体" w:hAnsi="宋体" w:cs="宋体"/>
          <w:color w:val="auto"/>
          <w:sz w:val="32"/>
          <w:szCs w:val="32"/>
          <w:highlight w:val="none"/>
        </w:rPr>
      </w:pPr>
    </w:p>
    <w:p w14:paraId="61712422">
      <w:pPr>
        <w:spacing w:line="360" w:lineRule="auto"/>
        <w:ind w:firstLine="1280" w:firstLineChars="400"/>
        <w:rPr>
          <w:rFonts w:ascii="宋体" w:hAnsi="宋体" w:cs="宋体"/>
          <w:color w:val="auto"/>
          <w:sz w:val="32"/>
          <w:szCs w:val="32"/>
          <w:highlight w:val="none"/>
        </w:rPr>
      </w:pPr>
    </w:p>
    <w:p w14:paraId="4C22940A">
      <w:pPr>
        <w:spacing w:line="360" w:lineRule="auto"/>
        <w:jc w:val="center"/>
        <w:rPr>
          <w:rFonts w:ascii="宋体" w:hAnsi="宋体" w:cs="宋体"/>
          <w:color w:val="auto"/>
          <w:sz w:val="32"/>
          <w:szCs w:val="32"/>
          <w:highlight w:val="none"/>
        </w:rPr>
      </w:pPr>
      <w:r>
        <w:rPr>
          <w:rFonts w:hint="eastAsia" w:ascii="宋体" w:hAnsi="宋体" w:cs="宋体"/>
          <w:color w:val="auto"/>
          <w:sz w:val="32"/>
          <w:szCs w:val="32"/>
          <w:highlight w:val="none"/>
        </w:rPr>
        <w:t>投标人须知前附表4：中小企业优惠办法</w:t>
      </w:r>
    </w:p>
    <w:tbl>
      <w:tblPr>
        <w:tblStyle w:val="12"/>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4ED16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vAlign w:val="center"/>
          </w:tcPr>
          <w:p w14:paraId="7B69109D">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序号</w:t>
            </w:r>
          </w:p>
        </w:tc>
        <w:tc>
          <w:tcPr>
            <w:tcW w:w="1677" w:type="dxa"/>
            <w:vAlign w:val="center"/>
          </w:tcPr>
          <w:p w14:paraId="4A827E2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w:t>
            </w:r>
          </w:p>
        </w:tc>
        <w:tc>
          <w:tcPr>
            <w:tcW w:w="6063" w:type="dxa"/>
            <w:vAlign w:val="center"/>
          </w:tcPr>
          <w:p w14:paraId="4DD8650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14:paraId="470E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vAlign w:val="center"/>
          </w:tcPr>
          <w:p w14:paraId="2AAC6B6E">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1</w:t>
            </w:r>
          </w:p>
        </w:tc>
        <w:tc>
          <w:tcPr>
            <w:tcW w:w="1677" w:type="dxa"/>
            <w:vAlign w:val="center"/>
          </w:tcPr>
          <w:p w14:paraId="287F9DFE">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本项目是否属于预留份额专门面向中小企业采购活动：</w:t>
            </w:r>
          </w:p>
        </w:tc>
        <w:tc>
          <w:tcPr>
            <w:tcW w:w="6063" w:type="dxa"/>
            <w:vAlign w:val="center"/>
          </w:tcPr>
          <w:p w14:paraId="7C00B941">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b/>
                <w:color w:val="auto"/>
                <w:sz w:val="24"/>
                <w:szCs w:val="24"/>
                <w:highlight w:val="none"/>
              </w:rPr>
              <w:fldChar w:fldCharType="begin"/>
            </w:r>
            <w:r>
              <w:rPr>
                <w:rFonts w:hint="eastAsia" w:ascii="宋体" w:hAnsi="宋体" w:cs="宋体"/>
                <w:b/>
                <w:color w:val="auto"/>
                <w:sz w:val="24"/>
                <w:szCs w:val="24"/>
                <w:highlight w:val="none"/>
              </w:rPr>
              <w:instrText xml:space="preserve"> eq \o\ac(</w:instrText>
            </w:r>
            <w:r>
              <w:rPr>
                <w:rFonts w:hint="eastAsia" w:ascii="宋体" w:hAnsi="宋体" w:cs="宋体"/>
                <w:b/>
                <w:color w:val="auto"/>
                <w:position w:val="-4"/>
                <w:sz w:val="36"/>
                <w:szCs w:val="24"/>
                <w:highlight w:val="none"/>
              </w:rPr>
              <w:instrText xml:space="preserve">□</w:instrText>
            </w:r>
            <w:r>
              <w:rPr>
                <w:rFonts w:hint="eastAsia" w:ascii="宋体" w:hAnsi="宋体" w:cs="宋体"/>
                <w:b/>
                <w:color w:val="auto"/>
                <w:sz w:val="24"/>
                <w:szCs w:val="24"/>
                <w:highlight w:val="none"/>
              </w:rPr>
              <w:instrText xml:space="preserve">,√)</w:instrText>
            </w:r>
            <w:r>
              <w:rPr>
                <w:rFonts w:hint="eastAsia" w:ascii="宋体" w:hAnsi="宋体" w:cs="宋体"/>
                <w:b/>
                <w:color w:val="auto"/>
                <w:sz w:val="24"/>
                <w:szCs w:val="24"/>
                <w:highlight w:val="none"/>
              </w:rPr>
              <w:fldChar w:fldCharType="end"/>
            </w:r>
            <w:r>
              <w:rPr>
                <w:rFonts w:hint="eastAsia" w:ascii="宋体" w:hAnsi="宋体" w:cs="宋体"/>
                <w:color w:val="auto"/>
                <w:sz w:val="24"/>
                <w:szCs w:val="24"/>
                <w:highlight w:val="none"/>
              </w:rPr>
              <w:t>否</w:t>
            </w:r>
          </w:p>
        </w:tc>
      </w:tr>
      <w:tr w14:paraId="2F505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vAlign w:val="center"/>
          </w:tcPr>
          <w:p w14:paraId="4B8B35ED">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2</w:t>
            </w:r>
          </w:p>
        </w:tc>
        <w:tc>
          <w:tcPr>
            <w:tcW w:w="1677" w:type="dxa"/>
            <w:vAlign w:val="center"/>
          </w:tcPr>
          <w:p w14:paraId="1E53DE03">
            <w:pPr>
              <w:spacing w:line="360" w:lineRule="auto"/>
              <w:jc w:val="center"/>
              <w:rPr>
                <w:rFonts w:ascii="宋体" w:hAnsi="宋体" w:cs="宋体"/>
                <w:color w:val="auto"/>
                <w:sz w:val="24"/>
                <w:szCs w:val="24"/>
                <w:highlight w:val="none"/>
              </w:rPr>
            </w:pPr>
            <w:r>
              <w:rPr>
                <w:rFonts w:hint="eastAsia" w:ascii="宋体" w:hAnsi="宋体" w:cs="宋体"/>
                <w:b/>
                <w:color w:val="auto"/>
                <w:sz w:val="24"/>
                <w:szCs w:val="24"/>
                <w:highlight w:val="none"/>
              </w:rPr>
              <w:t>中小企业的认定标准</w:t>
            </w:r>
          </w:p>
        </w:tc>
        <w:tc>
          <w:tcPr>
            <w:tcW w:w="6063" w:type="dxa"/>
          </w:tcPr>
          <w:p w14:paraId="06C4C81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中小企业参加政府采购活动，应当出具《中小企业声明函》，否则不得享受相关中小企业扶持政策。</w:t>
            </w:r>
          </w:p>
          <w:p w14:paraId="7B62A0A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须满足以下条件，才能认定为中小企业</w:t>
            </w:r>
            <w:r>
              <w:rPr>
                <w:rFonts w:hint="eastAsia" w:ascii="宋体" w:hAnsi="宋体" w:cs="宋体"/>
                <w:b/>
                <w:color w:val="auto"/>
                <w:sz w:val="24"/>
                <w:szCs w:val="24"/>
                <w:highlight w:val="none"/>
              </w:rPr>
              <w:t>（含中型、小型、微型企业，下同）</w:t>
            </w:r>
            <w:r>
              <w:rPr>
                <w:rFonts w:hint="eastAsia" w:ascii="宋体" w:hAnsi="宋体" w:cs="宋体"/>
                <w:color w:val="auto"/>
                <w:sz w:val="24"/>
                <w:szCs w:val="24"/>
                <w:highlight w:val="none"/>
              </w:rPr>
              <w:t>：</w:t>
            </w:r>
          </w:p>
          <w:p w14:paraId="278D8BA7">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648A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jc w:val="center"/>
        </w:trPr>
        <w:tc>
          <w:tcPr>
            <w:tcW w:w="900" w:type="dxa"/>
            <w:vAlign w:val="center"/>
          </w:tcPr>
          <w:p w14:paraId="7DD6C4DE">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3</w:t>
            </w:r>
          </w:p>
        </w:tc>
        <w:tc>
          <w:tcPr>
            <w:tcW w:w="1677" w:type="dxa"/>
            <w:vAlign w:val="center"/>
          </w:tcPr>
          <w:p w14:paraId="40C1D220">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优惠办法：</w:t>
            </w:r>
          </w:p>
        </w:tc>
        <w:tc>
          <w:tcPr>
            <w:tcW w:w="6063" w:type="dxa"/>
            <w:tcBorders>
              <w:bottom w:val="single" w:color="auto" w:sz="4" w:space="0"/>
            </w:tcBorders>
          </w:tcPr>
          <w:p w14:paraId="527A5895">
            <w:pPr>
              <w:spacing w:line="360" w:lineRule="auto"/>
              <w:ind w:left="-65" w:leftChars="-31" w:firstLine="12" w:firstLineChars="5"/>
              <w:rPr>
                <w:rFonts w:ascii="宋体" w:hAnsi="宋体" w:cs="宋体"/>
                <w:b/>
                <w:color w:val="auto"/>
                <w:sz w:val="24"/>
                <w:szCs w:val="24"/>
                <w:highlight w:val="none"/>
              </w:rPr>
            </w:pPr>
            <w:r>
              <w:rPr>
                <w:rFonts w:hint="eastAsia" w:ascii="宋体" w:hAnsi="宋体" w:cs="宋体"/>
                <w:b/>
                <w:color w:val="auto"/>
                <w:sz w:val="24"/>
                <w:szCs w:val="24"/>
                <w:highlight w:val="none"/>
              </w:rPr>
              <w:t>投标人为中小企业（含中型、小型、微型企业，下同）：</w:t>
            </w:r>
          </w:p>
          <w:p w14:paraId="6DF84BA3">
            <w:pPr>
              <w:spacing w:line="360" w:lineRule="auto"/>
              <w:ind w:left="411"/>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①</w:t>
            </w:r>
            <w:r>
              <w:rPr>
                <w:rFonts w:hint="eastAsia" w:ascii="宋体" w:hAnsi="宋体" w:cs="宋体"/>
                <w:color w:val="auto"/>
                <w:spacing w:val="-4"/>
                <w:sz w:val="24"/>
                <w:szCs w:val="24"/>
                <w:highlight w:val="none"/>
              </w:rPr>
              <w:t>投</w:t>
            </w:r>
            <w:r>
              <w:rPr>
                <w:rFonts w:hint="eastAsia" w:ascii="宋体" w:hAnsi="宋体" w:cs="宋体"/>
                <w:color w:val="auto"/>
                <w:spacing w:val="-4"/>
                <w:sz w:val="24"/>
                <w:szCs w:val="24"/>
                <w:highlight w:val="none"/>
              </w:rPr>
              <w:t>标保证金：按招标文件约定数额的50%交纳</w:t>
            </w:r>
          </w:p>
          <w:p w14:paraId="3588404B">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②履约保证金：按约定比例的50%支付（如果有的话）</w:t>
            </w:r>
          </w:p>
          <w:p w14:paraId="6AC1DFC0">
            <w:pPr>
              <w:spacing w:line="360" w:lineRule="auto"/>
              <w:ind w:left="-65" w:leftChars="-31" w:firstLine="475" w:firstLineChars="205"/>
              <w:rPr>
                <w:rFonts w:ascii="宋体" w:hAnsi="宋体" w:cs="宋体"/>
                <w:color w:val="auto"/>
                <w:spacing w:val="-4"/>
                <w:sz w:val="24"/>
                <w:szCs w:val="24"/>
                <w:highlight w:val="none"/>
              </w:rPr>
            </w:pPr>
            <w:r>
              <w:rPr>
                <w:rFonts w:hint="eastAsia" w:ascii="宋体" w:hAnsi="宋体" w:cs="宋体"/>
                <w:color w:val="auto"/>
                <w:spacing w:val="-4"/>
                <w:sz w:val="24"/>
                <w:szCs w:val="24"/>
                <w:highlight w:val="none"/>
              </w:rPr>
              <w:t>③代理服务费：按招标文件规定的收费标准下调10%</w:t>
            </w:r>
          </w:p>
          <w:p w14:paraId="7F6E2809">
            <w:pPr>
              <w:spacing w:line="360" w:lineRule="auto"/>
              <w:ind w:left="-65" w:leftChars="-31" w:firstLine="12" w:firstLineChars="5"/>
              <w:rPr>
                <w:rFonts w:ascii="宋体" w:hAnsi="宋体" w:cs="宋体"/>
                <w:b/>
                <w:color w:val="auto"/>
                <w:spacing w:val="-4"/>
                <w:sz w:val="24"/>
                <w:szCs w:val="24"/>
                <w:highlight w:val="none"/>
              </w:rPr>
            </w:pPr>
          </w:p>
          <w:p w14:paraId="5CD576E4">
            <w:pPr>
              <w:spacing w:line="360" w:lineRule="auto"/>
              <w:ind w:left="-65" w:leftChars="-31" w:firstLine="12" w:firstLineChars="5"/>
              <w:rPr>
                <w:rFonts w:ascii="宋体" w:hAnsi="宋体" w:cs="宋体"/>
                <w:b/>
                <w:color w:val="auto"/>
                <w:spacing w:val="-4"/>
                <w:sz w:val="24"/>
                <w:szCs w:val="24"/>
                <w:highlight w:val="none"/>
              </w:rPr>
            </w:pPr>
            <w:r>
              <w:rPr>
                <w:rFonts w:hint="eastAsia" w:ascii="宋体" w:hAnsi="宋体" w:cs="宋体"/>
                <w:b/>
                <w:color w:val="auto"/>
                <w:spacing w:val="-4"/>
                <w:sz w:val="24"/>
                <w:szCs w:val="24"/>
                <w:highlight w:val="none"/>
              </w:rPr>
              <w:t>投标产品为</w:t>
            </w:r>
            <w:r>
              <w:rPr>
                <w:rFonts w:hint="eastAsia" w:ascii="宋体" w:hAnsi="宋体" w:cs="宋体"/>
                <w:b/>
                <w:color w:val="auto"/>
                <w:sz w:val="24"/>
                <w:szCs w:val="24"/>
                <w:highlight w:val="none"/>
              </w:rPr>
              <w:t>小型企业或微型企业生产</w:t>
            </w:r>
            <w:r>
              <w:rPr>
                <w:rFonts w:hint="eastAsia" w:ascii="宋体" w:hAnsi="宋体" w:cs="宋体"/>
                <w:b/>
                <w:color w:val="auto"/>
                <w:spacing w:val="-4"/>
                <w:sz w:val="24"/>
                <w:szCs w:val="24"/>
                <w:highlight w:val="none"/>
              </w:rPr>
              <w:t>：</w:t>
            </w:r>
          </w:p>
          <w:p w14:paraId="7628866B">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投标人提供的货物既有中型企业制造，也有小微企业制造的，不享受办法规定的小微企业扶持政策。</w:t>
            </w:r>
          </w:p>
          <w:p w14:paraId="368C3FE4">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cs="宋体"/>
                <w:color w:val="auto"/>
                <w:sz w:val="24"/>
                <w:szCs w:val="24"/>
                <w:highlight w:val="none"/>
              </w:rPr>
              <w:t>%的扣除，扣除后的价格作为该投标人的评标价参与价格评分。</w:t>
            </w:r>
          </w:p>
          <w:p w14:paraId="4F4B1F61">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6%的扣除，用扣除后的价格参加评审。</w:t>
            </w:r>
          </w:p>
          <w:p w14:paraId="08BB13E5">
            <w:pPr>
              <w:pStyle w:val="11"/>
              <w:numPr>
                <w:ilvl w:val="255"/>
                <w:numId w:val="0"/>
              </w:num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70CD3EAA">
            <w:pPr>
              <w:pStyle w:val="6"/>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若本项目属于预留份额专门面向中小企业采购活动，不再执行价格评审优惠的扶持政策。</w:t>
            </w:r>
          </w:p>
        </w:tc>
      </w:tr>
      <w:tr w14:paraId="2F576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14:paraId="23477F1B">
            <w:pPr>
              <w:widowControl/>
              <w:spacing w:line="360" w:lineRule="auto"/>
              <w:jc w:val="center"/>
              <w:rPr>
                <w:rFonts w:ascii="宋体" w:hAnsi="宋体" w:cs="宋体"/>
                <w:b/>
                <w:dstrike/>
                <w:color w:val="auto"/>
                <w:sz w:val="24"/>
                <w:szCs w:val="24"/>
                <w:highlight w:val="none"/>
              </w:rPr>
            </w:pPr>
            <w:r>
              <w:rPr>
                <w:rFonts w:hint="eastAsia" w:ascii="宋体" w:hAnsi="宋体" w:cs="宋体"/>
                <w:b/>
                <w:color w:val="auto"/>
                <w:sz w:val="24"/>
                <w:szCs w:val="24"/>
                <w:highlight w:val="none"/>
              </w:rPr>
              <w:t>4</w:t>
            </w:r>
          </w:p>
        </w:tc>
        <w:tc>
          <w:tcPr>
            <w:tcW w:w="1677" w:type="dxa"/>
            <w:vAlign w:val="center"/>
          </w:tcPr>
          <w:p w14:paraId="48C7EA6A">
            <w:pPr>
              <w:pStyle w:val="10"/>
              <w:spacing w:before="0" w:beforeAutospacing="0" w:after="0" w:afterAutospacing="0" w:line="360" w:lineRule="auto"/>
              <w:rPr>
                <w:color w:val="auto"/>
                <w:highlight w:val="none"/>
              </w:rPr>
            </w:pPr>
            <w:r>
              <w:rPr>
                <w:rFonts w:hint="eastAsia"/>
                <w:color w:val="auto"/>
                <w:highlight w:val="none"/>
              </w:rPr>
              <w:t>本项目对应的中小企业划分标准</w:t>
            </w:r>
            <w:r>
              <w:rPr>
                <w:rFonts w:hint="eastAsia"/>
                <w:color w:val="auto"/>
                <w:sz w:val="24"/>
                <w:szCs w:val="24"/>
                <w:highlight w:val="none"/>
              </w:rPr>
              <w:t>所属</w:t>
            </w:r>
            <w:r>
              <w:rPr>
                <w:rFonts w:hint="eastAsia"/>
                <w:color w:val="auto"/>
                <w:sz w:val="24"/>
                <w:szCs w:val="24"/>
                <w:highlight w:val="none"/>
                <w:u w:val="single"/>
              </w:rPr>
              <w:t>工业</w:t>
            </w:r>
            <w:r>
              <w:rPr>
                <w:color w:val="auto"/>
                <w:sz w:val="24"/>
                <w:szCs w:val="24"/>
                <w:highlight w:val="none"/>
                <w:u w:val="single"/>
              </w:rPr>
              <w:t xml:space="preserve">  行业。</w:t>
            </w:r>
          </w:p>
        </w:tc>
        <w:tc>
          <w:tcPr>
            <w:tcW w:w="6063" w:type="dxa"/>
            <w:tcBorders>
              <w:bottom w:val="single" w:color="auto" w:sz="4" w:space="0"/>
            </w:tcBorders>
          </w:tcPr>
          <w:p w14:paraId="569C3FC9">
            <w:pPr>
              <w:spacing w:line="360" w:lineRule="auto"/>
              <w:rPr>
                <w:rFonts w:ascii="宋体" w:hAnsi="宋体" w:cs="宋体"/>
                <w:dstrike/>
                <w:color w:val="auto"/>
                <w:sz w:val="24"/>
                <w:szCs w:val="24"/>
                <w:highlight w:val="none"/>
                <w:u w:val="single"/>
              </w:rPr>
            </w:pPr>
            <w:r>
              <w:rPr>
                <w:rFonts w:hint="eastAsia" w:ascii="宋体" w:hAnsi="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7FC1E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vAlign w:val="center"/>
          </w:tcPr>
          <w:p w14:paraId="7033D1AD">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5</w:t>
            </w:r>
          </w:p>
        </w:tc>
        <w:tc>
          <w:tcPr>
            <w:tcW w:w="1677" w:type="dxa"/>
            <w:vAlign w:val="center"/>
          </w:tcPr>
          <w:p w14:paraId="6F8BA9CF">
            <w:pPr>
              <w:widowControl/>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相关风险</w:t>
            </w:r>
          </w:p>
        </w:tc>
        <w:tc>
          <w:tcPr>
            <w:tcW w:w="6063" w:type="dxa"/>
            <w:tcBorders>
              <w:bottom w:val="single" w:color="auto" w:sz="4" w:space="0"/>
            </w:tcBorders>
          </w:tcPr>
          <w:p w14:paraId="60FFF20A">
            <w:pPr>
              <w:spacing w:line="360" w:lineRule="auto"/>
              <w:ind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一、经评标委员会评审，存在下列任一情况的，投标人将不被视为中小企业：</w:t>
            </w:r>
          </w:p>
          <w:p w14:paraId="405B980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1.投标人不符合“工信部联企业[2011]300号”规定的中小企业标准的；</w:t>
            </w:r>
          </w:p>
          <w:p w14:paraId="41CFEC6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2.投标货物全部或部分为使用大型企业注册商标的货物的；</w:t>
            </w:r>
          </w:p>
          <w:p w14:paraId="27E172A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3.投标文件中标明的中小企业产品的制造商不符合“工信部联企业[2011]300号”规定的中小企业标准的；</w:t>
            </w:r>
          </w:p>
          <w:p w14:paraId="6301EDDB">
            <w:pPr>
              <w:spacing w:line="360" w:lineRule="auto"/>
              <w:ind w:firstLine="482" w:firstLineChars="20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二、提供虚假声明后果：</w:t>
            </w:r>
          </w:p>
          <w:p w14:paraId="79C2ED6B">
            <w:pPr>
              <w:widowControl/>
              <w:spacing w:line="360" w:lineRule="auto"/>
              <w:rPr>
                <w:rFonts w:ascii="宋体" w:hAnsi="宋体" w:cs="宋体"/>
                <w:b/>
                <w:i/>
                <w:color w:val="auto"/>
                <w:kern w:val="0"/>
                <w:sz w:val="24"/>
                <w:szCs w:val="24"/>
                <w:highlight w:val="none"/>
                <w:u w:val="single"/>
              </w:rPr>
            </w:pPr>
            <w:r>
              <w:rPr>
                <w:rFonts w:hint="eastAsia" w:ascii="宋体" w:hAnsi="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单位、招标代理机构将有关情况上报政府采购监管部门，由监管部门按有关规定对其进行相应处罚。采购单位、招标代理机构</w:t>
            </w:r>
            <w:r>
              <w:rPr>
                <w:rFonts w:hint="eastAsia" w:ascii="宋体" w:hAnsi="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cs="宋体"/>
                <w:b/>
                <w:i/>
                <w:color w:val="auto"/>
                <w:kern w:val="0"/>
                <w:sz w:val="24"/>
                <w:szCs w:val="24"/>
                <w:highlight w:val="none"/>
                <w:u w:val="single"/>
              </w:rPr>
              <w:t>（提醒：如果不满足中小企业的认定标准，则不需要提供《中小企业声明函》，否则因此导致虚假应标的后果由投标人自行承担。）</w:t>
            </w:r>
          </w:p>
        </w:tc>
      </w:tr>
    </w:tbl>
    <w:p w14:paraId="0DC7E2C7">
      <w:pPr>
        <w:spacing w:line="360" w:lineRule="auto"/>
        <w:ind w:firstLine="560"/>
        <w:rPr>
          <w:rFonts w:ascii="宋体" w:hAnsi="宋体" w:cs="宋体"/>
          <w:color w:val="auto"/>
          <w:sz w:val="24"/>
          <w:szCs w:val="24"/>
          <w:highlight w:val="none"/>
        </w:rPr>
      </w:pPr>
    </w:p>
    <w:p w14:paraId="07230C06">
      <w:pPr>
        <w:spacing w:line="360" w:lineRule="auto"/>
        <w:rPr>
          <w:rFonts w:ascii="宋体" w:hAnsi="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7F54B3C5">
      <w:pPr>
        <w:pStyle w:val="4"/>
        <w:snapToGrid w:val="0"/>
        <w:spacing w:line="360" w:lineRule="auto"/>
        <w:ind w:firstLine="0"/>
        <w:jc w:val="center"/>
        <w:rPr>
          <w:rFonts w:ascii="宋体" w:hAnsi="宋体" w:cs="宋体"/>
          <w:b/>
          <w:bCs/>
          <w:color w:val="auto"/>
          <w:sz w:val="32"/>
          <w:szCs w:val="32"/>
          <w:highlight w:val="none"/>
        </w:rPr>
      </w:pPr>
      <w:r>
        <w:rPr>
          <w:rFonts w:hint="eastAsia" w:ascii="宋体" w:hAnsi="宋体" w:cs="宋体"/>
          <w:b/>
          <w:color w:val="auto"/>
          <w:sz w:val="32"/>
          <w:szCs w:val="32"/>
          <w:highlight w:val="none"/>
        </w:rPr>
        <w:t xml:space="preserve">第三章  </w:t>
      </w:r>
      <w:r>
        <w:rPr>
          <w:rFonts w:hint="eastAsia" w:ascii="宋体" w:hAnsi="宋体" w:cs="宋体"/>
          <w:b/>
          <w:bCs/>
          <w:color w:val="auto"/>
          <w:sz w:val="32"/>
          <w:szCs w:val="32"/>
          <w:highlight w:val="none"/>
        </w:rPr>
        <w:t>招标内容及要求</w:t>
      </w:r>
    </w:p>
    <w:p w14:paraId="09B309C2">
      <w:pPr>
        <w:pStyle w:val="7"/>
        <w:spacing w:after="0" w:line="360" w:lineRule="auto"/>
        <w:ind w:left="181" w:leftChars="86" w:right="-334" w:rightChars="-159"/>
        <w:rPr>
          <w:rFonts w:ascii="宋体" w:hAnsi="宋体" w:cs="宋体"/>
          <w:b/>
          <w:bCs/>
          <w:color w:val="auto"/>
          <w:sz w:val="24"/>
          <w:szCs w:val="24"/>
          <w:highlight w:val="none"/>
        </w:rPr>
      </w:pPr>
      <w:r>
        <w:rPr>
          <w:rFonts w:hint="eastAsia" w:ascii="宋体" w:hAnsi="宋体" w:cs="宋体"/>
          <w:b/>
          <w:bCs/>
          <w:color w:val="auto"/>
          <w:sz w:val="24"/>
          <w:szCs w:val="24"/>
          <w:highlight w:val="none"/>
        </w:rPr>
        <w:t>提示说明：</w:t>
      </w:r>
    </w:p>
    <w:p w14:paraId="347A994D">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cs="宋体"/>
          <w:b/>
          <w:color w:val="auto"/>
          <w:sz w:val="24"/>
          <w:szCs w:val="24"/>
          <w:highlight w:val="none"/>
        </w:rPr>
        <w:t>投标人应对招标文件中的“*”号条款进行逐条响应，否则评标委员会对其投标做出不利评审，投标人必须自行承担责任。</w:t>
      </w:r>
    </w:p>
    <w:p w14:paraId="74ED191B">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2D59744B">
      <w:pPr>
        <w:pStyle w:val="7"/>
        <w:spacing w:after="0" w:line="360" w:lineRule="auto"/>
        <w:ind w:left="0" w:right="-334" w:rightChars="-159"/>
        <w:rPr>
          <w:rFonts w:ascii="宋体" w:hAnsi="宋体" w:cs="宋体"/>
          <w:b/>
          <w:bCs/>
          <w:color w:val="auto"/>
          <w:sz w:val="24"/>
          <w:szCs w:val="24"/>
          <w:highlight w:val="none"/>
        </w:rPr>
      </w:pPr>
      <w:r>
        <w:rPr>
          <w:rFonts w:hint="eastAsia" w:ascii="宋体" w:hAnsi="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0A48A26F">
      <w:pPr>
        <w:pStyle w:val="7"/>
        <w:spacing w:after="0" w:line="360" w:lineRule="auto"/>
        <w:ind w:left="0"/>
        <w:rPr>
          <w:rFonts w:ascii="宋体" w:hAnsi="宋体" w:cs="宋体"/>
          <w:b/>
          <w:bCs/>
          <w:color w:val="auto"/>
          <w:sz w:val="24"/>
          <w:szCs w:val="24"/>
          <w:highlight w:val="none"/>
        </w:rPr>
      </w:pPr>
      <w:r>
        <w:rPr>
          <w:rFonts w:hint="eastAsia" w:ascii="宋体" w:hAnsi="宋体" w:cs="宋体"/>
          <w:b/>
          <w:bCs/>
          <w:color w:val="auto"/>
          <w:sz w:val="24"/>
          <w:szCs w:val="24"/>
          <w:highlight w:val="none"/>
        </w:rPr>
        <w:t>（4）经评标委员会认定要求澄清的证明文件必须在规定的时间内提供，否则其将不具有中标供应商的资格。</w:t>
      </w:r>
    </w:p>
    <w:p w14:paraId="152D67C2">
      <w:pPr>
        <w:spacing w:line="360" w:lineRule="auto"/>
        <w:rPr>
          <w:rFonts w:ascii="宋体" w:hAnsi="宋体" w:cs="宋体"/>
          <w:b/>
          <w:color w:val="auto"/>
          <w:sz w:val="24"/>
          <w:szCs w:val="24"/>
          <w:highlight w:val="none"/>
        </w:rPr>
      </w:pPr>
      <w:r>
        <w:rPr>
          <w:rFonts w:hint="eastAsia" w:ascii="宋体" w:hAnsi="宋体" w:cs="宋体"/>
          <w:b/>
          <w:bCs/>
          <w:color w:val="auto"/>
          <w:sz w:val="24"/>
          <w:szCs w:val="24"/>
          <w:highlight w:val="none"/>
        </w:rPr>
        <w:t>（5）本项目实行网下购买招标文件，投标人必须按招标文件要求递交纸质投标文件。</w:t>
      </w:r>
    </w:p>
    <w:p w14:paraId="5B40D41E">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（6）资格性证明文件请单独成册。</w:t>
      </w:r>
    </w:p>
    <w:p w14:paraId="344B02C5">
      <w:pPr>
        <w:pStyle w:val="7"/>
        <w:spacing w:after="0" w:line="360" w:lineRule="auto"/>
        <w:ind w:left="0"/>
        <w:rPr>
          <w:rFonts w:ascii="宋体" w:hAnsi="宋体" w:cs="宋体"/>
          <w:b/>
          <w:bCs/>
          <w:color w:val="auto"/>
          <w:sz w:val="24"/>
          <w:szCs w:val="24"/>
          <w:highlight w:val="none"/>
        </w:rPr>
      </w:pPr>
    </w:p>
    <w:p w14:paraId="18835153">
      <w:pPr>
        <w:tabs>
          <w:tab w:val="left" w:pos="5130"/>
        </w:tabs>
        <w:spacing w:line="360" w:lineRule="auto"/>
        <w:ind w:firstLine="480" w:firstLineChars="200"/>
        <w:rPr>
          <w:rFonts w:ascii="宋体" w:hAnsi="宋体" w:cs="宋体"/>
          <w:color w:val="auto"/>
          <w:sz w:val="24"/>
          <w:szCs w:val="24"/>
          <w:highlight w:val="none"/>
        </w:rPr>
      </w:pPr>
    </w:p>
    <w:p w14:paraId="34EF0E6C">
      <w:pPr>
        <w:tabs>
          <w:tab w:val="left" w:pos="5130"/>
        </w:tabs>
        <w:spacing w:line="360" w:lineRule="auto"/>
        <w:ind w:firstLine="480" w:firstLineChars="200"/>
        <w:rPr>
          <w:rFonts w:ascii="宋体" w:hAnsi="宋体" w:cs="宋体"/>
          <w:color w:val="auto"/>
          <w:sz w:val="24"/>
          <w:szCs w:val="24"/>
          <w:highlight w:val="none"/>
        </w:rPr>
      </w:pPr>
    </w:p>
    <w:p w14:paraId="208CE3F2">
      <w:pPr>
        <w:tabs>
          <w:tab w:val="left" w:pos="5130"/>
        </w:tabs>
        <w:spacing w:line="360" w:lineRule="auto"/>
        <w:ind w:firstLine="480" w:firstLineChars="200"/>
        <w:rPr>
          <w:rFonts w:ascii="宋体" w:hAnsi="宋体" w:cs="宋体"/>
          <w:color w:val="auto"/>
          <w:sz w:val="24"/>
          <w:szCs w:val="24"/>
          <w:highlight w:val="none"/>
        </w:rPr>
      </w:pPr>
    </w:p>
    <w:p w14:paraId="2A6DAB78">
      <w:pPr>
        <w:tabs>
          <w:tab w:val="left" w:pos="5130"/>
        </w:tabs>
        <w:spacing w:line="360" w:lineRule="auto"/>
        <w:ind w:firstLine="480" w:firstLineChars="200"/>
        <w:rPr>
          <w:rFonts w:ascii="宋体" w:hAnsi="宋体" w:cs="宋体"/>
          <w:color w:val="auto"/>
          <w:sz w:val="24"/>
          <w:szCs w:val="24"/>
          <w:highlight w:val="none"/>
        </w:rPr>
      </w:pPr>
    </w:p>
    <w:p w14:paraId="22E735F9">
      <w:pPr>
        <w:tabs>
          <w:tab w:val="left" w:pos="5130"/>
        </w:tabs>
        <w:spacing w:line="360" w:lineRule="auto"/>
        <w:ind w:firstLine="480" w:firstLineChars="200"/>
        <w:rPr>
          <w:rFonts w:ascii="宋体" w:hAnsi="宋体" w:cs="宋体"/>
          <w:color w:val="auto"/>
          <w:sz w:val="24"/>
          <w:szCs w:val="24"/>
          <w:highlight w:val="none"/>
        </w:rPr>
      </w:pPr>
    </w:p>
    <w:p w14:paraId="7A15E5AA">
      <w:pPr>
        <w:tabs>
          <w:tab w:val="left" w:pos="5130"/>
        </w:tabs>
        <w:spacing w:line="360" w:lineRule="auto"/>
        <w:ind w:firstLine="480" w:firstLineChars="200"/>
        <w:rPr>
          <w:rFonts w:ascii="宋体" w:hAnsi="宋体" w:cs="宋体"/>
          <w:color w:val="auto"/>
          <w:sz w:val="24"/>
          <w:szCs w:val="24"/>
          <w:highlight w:val="none"/>
        </w:rPr>
      </w:pPr>
    </w:p>
    <w:p w14:paraId="480679F6">
      <w:pPr>
        <w:tabs>
          <w:tab w:val="left" w:pos="5130"/>
        </w:tabs>
        <w:spacing w:line="360" w:lineRule="auto"/>
        <w:ind w:firstLine="480" w:firstLineChars="200"/>
        <w:rPr>
          <w:rFonts w:ascii="宋体" w:hAnsi="宋体" w:cs="宋体"/>
          <w:color w:val="auto"/>
          <w:sz w:val="24"/>
          <w:szCs w:val="24"/>
          <w:highlight w:val="none"/>
        </w:rPr>
      </w:pPr>
    </w:p>
    <w:p w14:paraId="496CC915">
      <w:pPr>
        <w:tabs>
          <w:tab w:val="left" w:pos="5130"/>
        </w:tabs>
        <w:spacing w:line="360" w:lineRule="auto"/>
        <w:ind w:firstLine="480" w:firstLineChars="200"/>
        <w:rPr>
          <w:rFonts w:ascii="宋体" w:hAnsi="宋体" w:cs="宋体"/>
          <w:color w:val="auto"/>
          <w:sz w:val="24"/>
          <w:szCs w:val="24"/>
          <w:highlight w:val="none"/>
        </w:rPr>
      </w:pPr>
    </w:p>
    <w:p w14:paraId="7D89A04C">
      <w:pPr>
        <w:tabs>
          <w:tab w:val="left" w:pos="5130"/>
        </w:tabs>
        <w:spacing w:line="360" w:lineRule="auto"/>
        <w:ind w:firstLine="480" w:firstLineChars="200"/>
        <w:rPr>
          <w:rFonts w:ascii="宋体" w:hAnsi="宋体" w:cs="宋体"/>
          <w:color w:val="auto"/>
          <w:sz w:val="24"/>
          <w:szCs w:val="24"/>
          <w:highlight w:val="none"/>
        </w:rPr>
      </w:pPr>
    </w:p>
    <w:p w14:paraId="6640F24E">
      <w:pPr>
        <w:tabs>
          <w:tab w:val="left" w:pos="5130"/>
        </w:tabs>
        <w:spacing w:line="360" w:lineRule="auto"/>
        <w:ind w:firstLine="480" w:firstLineChars="200"/>
        <w:rPr>
          <w:rFonts w:ascii="宋体" w:hAnsi="宋体" w:cs="宋体"/>
          <w:color w:val="auto"/>
          <w:sz w:val="24"/>
          <w:szCs w:val="24"/>
          <w:highlight w:val="none"/>
        </w:rPr>
      </w:pPr>
    </w:p>
    <w:p w14:paraId="21D2CCBE">
      <w:pPr>
        <w:tabs>
          <w:tab w:val="left" w:pos="5130"/>
        </w:tabs>
        <w:spacing w:line="360" w:lineRule="auto"/>
        <w:ind w:firstLine="480" w:firstLineChars="200"/>
        <w:rPr>
          <w:rFonts w:ascii="宋体" w:hAnsi="宋体" w:cs="宋体"/>
          <w:color w:val="auto"/>
          <w:sz w:val="24"/>
          <w:szCs w:val="24"/>
          <w:highlight w:val="none"/>
        </w:rPr>
      </w:pPr>
    </w:p>
    <w:p w14:paraId="1E7E2488">
      <w:pPr>
        <w:tabs>
          <w:tab w:val="left" w:pos="5130"/>
        </w:tabs>
        <w:spacing w:line="360" w:lineRule="auto"/>
        <w:ind w:firstLine="480" w:firstLineChars="200"/>
        <w:rPr>
          <w:rFonts w:ascii="宋体" w:hAnsi="宋体" w:cs="宋体"/>
          <w:color w:val="auto"/>
          <w:sz w:val="24"/>
          <w:szCs w:val="24"/>
          <w:highlight w:val="none"/>
        </w:rPr>
      </w:pPr>
    </w:p>
    <w:p w14:paraId="5402844A">
      <w:pPr>
        <w:tabs>
          <w:tab w:val="left" w:pos="5130"/>
        </w:tabs>
        <w:spacing w:line="360" w:lineRule="auto"/>
        <w:rPr>
          <w:rFonts w:ascii="宋体" w:hAnsi="宋体" w:cs="宋体"/>
          <w:color w:val="auto"/>
          <w:sz w:val="24"/>
          <w:szCs w:val="24"/>
          <w:highlight w:val="none"/>
        </w:rPr>
      </w:pPr>
    </w:p>
    <w:p w14:paraId="6E0CFBD4">
      <w:pPr>
        <w:tabs>
          <w:tab w:val="left" w:pos="5130"/>
        </w:tabs>
        <w:spacing w:line="360" w:lineRule="auto"/>
        <w:rPr>
          <w:rFonts w:ascii="宋体" w:hAnsi="宋体" w:cs="宋体"/>
          <w:color w:val="auto"/>
          <w:sz w:val="24"/>
          <w:szCs w:val="24"/>
          <w:highlight w:val="none"/>
        </w:rPr>
      </w:pPr>
    </w:p>
    <w:p w14:paraId="3B65A95C">
      <w:pPr>
        <w:tabs>
          <w:tab w:val="left" w:pos="5130"/>
        </w:tabs>
        <w:spacing w:line="360" w:lineRule="auto"/>
        <w:rPr>
          <w:rFonts w:ascii="宋体" w:hAnsi="宋体" w:cs="宋体"/>
          <w:color w:val="auto"/>
          <w:sz w:val="24"/>
          <w:szCs w:val="24"/>
          <w:highlight w:val="none"/>
        </w:rPr>
      </w:pPr>
    </w:p>
    <w:p w14:paraId="1D310A98">
      <w:pPr>
        <w:tabs>
          <w:tab w:val="left" w:pos="5130"/>
        </w:tabs>
        <w:spacing w:line="360" w:lineRule="auto"/>
        <w:rPr>
          <w:rFonts w:ascii="宋体" w:hAnsi="宋体" w:cs="宋体"/>
          <w:color w:val="auto"/>
          <w:sz w:val="24"/>
          <w:szCs w:val="24"/>
          <w:highlight w:val="none"/>
        </w:rPr>
      </w:pPr>
    </w:p>
    <w:p w14:paraId="742F399F">
      <w:pPr>
        <w:tabs>
          <w:tab w:val="left" w:pos="5130"/>
        </w:tabs>
        <w:spacing w:line="360" w:lineRule="auto"/>
        <w:rPr>
          <w:rFonts w:ascii="宋体" w:hAnsi="宋体" w:cs="宋体"/>
          <w:color w:val="auto"/>
          <w:sz w:val="24"/>
          <w:szCs w:val="24"/>
          <w:highlight w:val="none"/>
        </w:rPr>
      </w:pPr>
    </w:p>
    <w:p w14:paraId="471F7117">
      <w:pPr>
        <w:tabs>
          <w:tab w:val="left" w:pos="5130"/>
        </w:tabs>
        <w:spacing w:line="360" w:lineRule="auto"/>
        <w:rPr>
          <w:rFonts w:ascii="宋体" w:hAnsi="宋体" w:cs="宋体"/>
          <w:color w:val="auto"/>
          <w:sz w:val="24"/>
          <w:szCs w:val="24"/>
          <w:highlight w:val="none"/>
        </w:rPr>
      </w:pPr>
    </w:p>
    <w:p w14:paraId="3449B08A">
      <w:pPr>
        <w:tabs>
          <w:tab w:val="left" w:pos="5130"/>
        </w:tabs>
        <w:spacing w:line="360" w:lineRule="auto"/>
        <w:ind w:firstLine="562" w:firstLineChars="200"/>
        <w:rPr>
          <w:rFonts w:ascii="宋体" w:hAnsi="宋体"/>
          <w:b/>
          <w:color w:val="auto"/>
          <w:sz w:val="28"/>
          <w:szCs w:val="28"/>
          <w:highlight w:val="none"/>
        </w:rPr>
      </w:pPr>
      <w:r>
        <w:rPr>
          <w:rFonts w:hint="eastAsia" w:ascii="宋体" w:hAnsi="宋体"/>
          <w:b/>
          <w:color w:val="auto"/>
          <w:sz w:val="28"/>
          <w:szCs w:val="28"/>
          <w:highlight w:val="none"/>
        </w:rPr>
        <w:t>一、采购货物一览表</w:t>
      </w: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976"/>
        <w:gridCol w:w="1843"/>
        <w:gridCol w:w="2126"/>
        <w:gridCol w:w="1843"/>
      </w:tblGrid>
      <w:tr w14:paraId="30A03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4C148C9B">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b/>
                <w:bCs/>
                <w:color w:val="auto"/>
                <w:sz w:val="24"/>
                <w:szCs w:val="24"/>
                <w:highlight w:val="none"/>
              </w:rPr>
              <w:t>品目号</w:t>
            </w:r>
          </w:p>
        </w:tc>
        <w:tc>
          <w:tcPr>
            <w:tcW w:w="2976" w:type="dxa"/>
            <w:vAlign w:val="center"/>
          </w:tcPr>
          <w:p w14:paraId="35D9BD56">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b/>
                <w:bCs/>
                <w:color w:val="auto"/>
                <w:sz w:val="24"/>
                <w:szCs w:val="24"/>
                <w:highlight w:val="none"/>
              </w:rPr>
              <w:t>货物名称</w:t>
            </w:r>
          </w:p>
        </w:tc>
        <w:tc>
          <w:tcPr>
            <w:tcW w:w="1843" w:type="dxa"/>
            <w:vAlign w:val="center"/>
          </w:tcPr>
          <w:p w14:paraId="094BFB27">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b/>
                <w:bCs/>
                <w:color w:val="auto"/>
                <w:sz w:val="24"/>
                <w:szCs w:val="24"/>
                <w:highlight w:val="none"/>
              </w:rPr>
              <w:t>采购数量（台）</w:t>
            </w:r>
          </w:p>
        </w:tc>
        <w:tc>
          <w:tcPr>
            <w:tcW w:w="2126" w:type="dxa"/>
            <w:vAlign w:val="center"/>
          </w:tcPr>
          <w:p w14:paraId="51BD3090">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b/>
                <w:bCs/>
                <w:color w:val="auto"/>
                <w:sz w:val="24"/>
                <w:szCs w:val="24"/>
                <w:highlight w:val="none"/>
              </w:rPr>
              <w:t>单台限价（元）</w:t>
            </w:r>
          </w:p>
        </w:tc>
        <w:tc>
          <w:tcPr>
            <w:tcW w:w="1843" w:type="dxa"/>
            <w:vAlign w:val="center"/>
          </w:tcPr>
          <w:p w14:paraId="492865D3">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b/>
                <w:bCs/>
                <w:color w:val="auto"/>
                <w:sz w:val="24"/>
                <w:szCs w:val="24"/>
                <w:highlight w:val="none"/>
              </w:rPr>
              <w:t>预算总额（元）</w:t>
            </w:r>
          </w:p>
        </w:tc>
      </w:tr>
      <w:tr w14:paraId="61BEB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7ADCB057">
            <w:pPr>
              <w:spacing w:line="360" w:lineRule="auto"/>
              <w:jc w:val="center"/>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1-1</w:t>
            </w:r>
          </w:p>
        </w:tc>
        <w:tc>
          <w:tcPr>
            <w:tcW w:w="2976" w:type="dxa"/>
            <w:vAlign w:val="center"/>
          </w:tcPr>
          <w:p w14:paraId="5ADE49E3">
            <w:pPr>
              <w:pStyle w:val="10"/>
              <w:jc w:val="center"/>
              <w:rPr>
                <w:rFonts w:cs="仿宋" w:asciiTheme="minorEastAsia" w:hAnsiTheme="minorEastAsia" w:eastAsiaTheme="minorEastAsia"/>
                <w:color w:val="auto"/>
                <w:highlight w:val="none"/>
              </w:rPr>
            </w:pPr>
            <w:r>
              <w:rPr>
                <w:rFonts w:hint="eastAsia" w:cs="仿宋" w:asciiTheme="minorEastAsia" w:hAnsiTheme="minorEastAsia" w:eastAsiaTheme="minorEastAsia"/>
                <w:color w:val="auto"/>
                <w:sz w:val="24"/>
                <w:szCs w:val="24"/>
                <w:highlight w:val="none"/>
              </w:rPr>
              <w:t>教育壁挂型高拍仪</w:t>
            </w:r>
          </w:p>
        </w:tc>
        <w:tc>
          <w:tcPr>
            <w:tcW w:w="1843" w:type="dxa"/>
            <w:vAlign w:val="center"/>
          </w:tcPr>
          <w:p w14:paraId="4A58AA8C">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4600</w:t>
            </w:r>
          </w:p>
        </w:tc>
        <w:tc>
          <w:tcPr>
            <w:tcW w:w="2126" w:type="dxa"/>
            <w:vAlign w:val="center"/>
          </w:tcPr>
          <w:p w14:paraId="7FF239A6">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650</w:t>
            </w:r>
          </w:p>
        </w:tc>
        <w:tc>
          <w:tcPr>
            <w:tcW w:w="1843" w:type="dxa"/>
            <w:vAlign w:val="center"/>
          </w:tcPr>
          <w:p w14:paraId="72311EB2">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2,990,000</w:t>
            </w:r>
          </w:p>
        </w:tc>
      </w:tr>
      <w:tr w14:paraId="0BA6E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100319A1">
            <w:pPr>
              <w:spacing w:line="360" w:lineRule="auto"/>
              <w:jc w:val="center"/>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1-2</w:t>
            </w:r>
          </w:p>
        </w:tc>
        <w:tc>
          <w:tcPr>
            <w:tcW w:w="2976" w:type="dxa"/>
            <w:vAlign w:val="center"/>
          </w:tcPr>
          <w:p w14:paraId="3D6F70B3">
            <w:pPr>
              <w:pStyle w:val="10"/>
              <w:jc w:val="center"/>
              <w:rPr>
                <w:rFonts w:cs="仿宋" w:asciiTheme="minorEastAsia" w:hAnsiTheme="minorEastAsia" w:eastAsiaTheme="minorEastAsia"/>
                <w:color w:val="auto"/>
                <w:highlight w:val="none"/>
              </w:rPr>
            </w:pPr>
            <w:r>
              <w:rPr>
                <w:rFonts w:hint="eastAsia" w:cs="仿宋" w:asciiTheme="minorEastAsia" w:hAnsiTheme="minorEastAsia" w:eastAsiaTheme="minorEastAsia"/>
                <w:color w:val="auto"/>
                <w:sz w:val="24"/>
                <w:szCs w:val="24"/>
                <w:highlight w:val="none"/>
              </w:rPr>
              <w:t>教育桌面型高拍仪</w:t>
            </w:r>
          </w:p>
        </w:tc>
        <w:tc>
          <w:tcPr>
            <w:tcW w:w="1843" w:type="dxa"/>
            <w:vAlign w:val="center"/>
          </w:tcPr>
          <w:p w14:paraId="08AE4DC8">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1000</w:t>
            </w:r>
          </w:p>
        </w:tc>
        <w:tc>
          <w:tcPr>
            <w:tcW w:w="2126" w:type="dxa"/>
            <w:vAlign w:val="center"/>
          </w:tcPr>
          <w:p w14:paraId="074F190D">
            <w:pPr>
              <w:pStyle w:val="10"/>
              <w:ind w:left="0" w:leftChars="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750</w:t>
            </w:r>
          </w:p>
        </w:tc>
        <w:tc>
          <w:tcPr>
            <w:tcW w:w="1843" w:type="dxa"/>
            <w:vAlign w:val="center"/>
          </w:tcPr>
          <w:p w14:paraId="74895818">
            <w:pPr>
              <w:pStyle w:val="10"/>
              <w:ind w:left="0" w:leftChars="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750,000</w:t>
            </w:r>
          </w:p>
        </w:tc>
      </w:tr>
      <w:tr w14:paraId="13072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01" w:type="dxa"/>
            <w:vAlign w:val="center"/>
          </w:tcPr>
          <w:p w14:paraId="5A9451FD">
            <w:pPr>
              <w:spacing w:line="360" w:lineRule="auto"/>
              <w:jc w:val="center"/>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1-3</w:t>
            </w:r>
          </w:p>
        </w:tc>
        <w:tc>
          <w:tcPr>
            <w:tcW w:w="2976" w:type="dxa"/>
            <w:vAlign w:val="center"/>
          </w:tcPr>
          <w:p w14:paraId="742A0E45">
            <w:pPr>
              <w:pStyle w:val="10"/>
              <w:jc w:val="center"/>
              <w:rPr>
                <w:rFonts w:cs="仿宋" w:asciiTheme="minorEastAsia" w:hAnsiTheme="minorEastAsia" w:eastAsiaTheme="minorEastAsia"/>
                <w:color w:val="auto"/>
                <w:highlight w:val="none"/>
              </w:rPr>
            </w:pPr>
            <w:r>
              <w:rPr>
                <w:rFonts w:hint="eastAsia" w:cs="仿宋" w:asciiTheme="minorEastAsia" w:hAnsiTheme="minorEastAsia" w:eastAsiaTheme="minorEastAsia"/>
                <w:color w:val="auto"/>
                <w:sz w:val="24"/>
                <w:szCs w:val="24"/>
                <w:highlight w:val="none"/>
              </w:rPr>
              <w:t>一体式</w:t>
            </w:r>
            <w:r>
              <w:rPr>
                <w:rFonts w:cs="仿宋" w:asciiTheme="minorEastAsia" w:hAnsiTheme="minorEastAsia" w:eastAsiaTheme="minorEastAsia"/>
                <w:color w:val="auto"/>
                <w:sz w:val="24"/>
                <w:szCs w:val="24"/>
                <w:highlight w:val="none"/>
              </w:rPr>
              <w:t>A4幅面</w:t>
            </w:r>
            <w:r>
              <w:rPr>
                <w:rFonts w:hint="eastAsia" w:cs="仿宋" w:asciiTheme="minorEastAsia" w:hAnsiTheme="minorEastAsia" w:eastAsiaTheme="minorEastAsia"/>
                <w:color w:val="auto"/>
                <w:sz w:val="24"/>
                <w:szCs w:val="24"/>
                <w:highlight w:val="none"/>
              </w:rPr>
              <w:t>高拍仪</w:t>
            </w:r>
          </w:p>
        </w:tc>
        <w:tc>
          <w:tcPr>
            <w:tcW w:w="1843" w:type="dxa"/>
            <w:vAlign w:val="center"/>
          </w:tcPr>
          <w:p w14:paraId="4DB7ACB3">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200</w:t>
            </w:r>
          </w:p>
        </w:tc>
        <w:tc>
          <w:tcPr>
            <w:tcW w:w="2126" w:type="dxa"/>
            <w:vAlign w:val="center"/>
          </w:tcPr>
          <w:p w14:paraId="756FA086">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1,000</w:t>
            </w:r>
          </w:p>
        </w:tc>
        <w:tc>
          <w:tcPr>
            <w:tcW w:w="1843" w:type="dxa"/>
            <w:vAlign w:val="center"/>
          </w:tcPr>
          <w:p w14:paraId="1594DAF7">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200,000</w:t>
            </w:r>
          </w:p>
        </w:tc>
      </w:tr>
      <w:tr w14:paraId="18BA0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101" w:type="dxa"/>
            <w:vAlign w:val="center"/>
          </w:tcPr>
          <w:p w14:paraId="1FD018F9">
            <w:pPr>
              <w:spacing w:line="360" w:lineRule="auto"/>
              <w:jc w:val="center"/>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1-4</w:t>
            </w:r>
          </w:p>
        </w:tc>
        <w:tc>
          <w:tcPr>
            <w:tcW w:w="2976" w:type="dxa"/>
            <w:vAlign w:val="center"/>
          </w:tcPr>
          <w:p w14:paraId="63A0DA95">
            <w:pPr>
              <w:pStyle w:val="10"/>
              <w:jc w:val="center"/>
              <w:rPr>
                <w:rFonts w:cs="仿宋" w:asciiTheme="minorEastAsia" w:hAnsiTheme="minorEastAsia" w:eastAsiaTheme="minorEastAsia"/>
                <w:color w:val="auto"/>
                <w:highlight w:val="none"/>
              </w:rPr>
            </w:pPr>
            <w:r>
              <w:rPr>
                <w:rFonts w:hint="eastAsia" w:cs="仿宋" w:asciiTheme="minorEastAsia" w:hAnsiTheme="minorEastAsia" w:eastAsiaTheme="minorEastAsia"/>
                <w:color w:val="auto"/>
                <w:sz w:val="24"/>
                <w:szCs w:val="24"/>
                <w:highlight w:val="none"/>
              </w:rPr>
              <w:t>一体式</w:t>
            </w:r>
            <w:r>
              <w:rPr>
                <w:rFonts w:cs="仿宋" w:asciiTheme="minorEastAsia" w:hAnsiTheme="minorEastAsia" w:eastAsiaTheme="minorEastAsia"/>
                <w:color w:val="auto"/>
                <w:sz w:val="24"/>
                <w:szCs w:val="24"/>
                <w:highlight w:val="none"/>
              </w:rPr>
              <w:t>A4幅面内置身份证读卡器</w:t>
            </w:r>
            <w:r>
              <w:rPr>
                <w:rFonts w:hint="eastAsia" w:cs="仿宋" w:asciiTheme="minorEastAsia" w:hAnsiTheme="minorEastAsia" w:eastAsiaTheme="minorEastAsia"/>
                <w:color w:val="auto"/>
                <w:sz w:val="24"/>
                <w:szCs w:val="24"/>
                <w:highlight w:val="none"/>
              </w:rPr>
              <w:t>高拍仪</w:t>
            </w:r>
          </w:p>
        </w:tc>
        <w:tc>
          <w:tcPr>
            <w:tcW w:w="1843" w:type="dxa"/>
            <w:vAlign w:val="center"/>
          </w:tcPr>
          <w:p w14:paraId="69959834">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100</w:t>
            </w:r>
          </w:p>
        </w:tc>
        <w:tc>
          <w:tcPr>
            <w:tcW w:w="2126" w:type="dxa"/>
            <w:vAlign w:val="center"/>
          </w:tcPr>
          <w:p w14:paraId="0DE1F1B6">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1,850</w:t>
            </w:r>
          </w:p>
        </w:tc>
        <w:tc>
          <w:tcPr>
            <w:tcW w:w="1843" w:type="dxa"/>
            <w:vAlign w:val="center"/>
          </w:tcPr>
          <w:p w14:paraId="2B1AEBD6">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185,000</w:t>
            </w:r>
          </w:p>
        </w:tc>
      </w:tr>
      <w:tr w14:paraId="228A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4077" w:type="dxa"/>
            <w:gridSpan w:val="2"/>
            <w:vAlign w:val="center"/>
          </w:tcPr>
          <w:p w14:paraId="13532D25">
            <w:pPr>
              <w:pStyle w:val="10"/>
              <w:spacing w:line="360" w:lineRule="auto"/>
              <w:jc w:val="center"/>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0"/>
                <w:szCs w:val="20"/>
                <w:highlight w:val="none"/>
              </w:rPr>
              <w:t>合计</w:t>
            </w:r>
          </w:p>
        </w:tc>
        <w:tc>
          <w:tcPr>
            <w:tcW w:w="1843" w:type="dxa"/>
            <w:vAlign w:val="center"/>
          </w:tcPr>
          <w:p w14:paraId="465E9662">
            <w:pPr>
              <w:pStyle w:val="10"/>
              <w:jc w:val="center"/>
              <w:rPr>
                <w:rFonts w:cs="仿宋" w:asciiTheme="minorEastAsia" w:hAnsiTheme="minorEastAsia" w:eastAsiaTheme="minorEastAsia"/>
                <w:color w:val="auto"/>
                <w:highlight w:val="none"/>
              </w:rPr>
            </w:pPr>
            <w:r>
              <w:rPr>
                <w:rFonts w:cs="仿宋" w:asciiTheme="minorEastAsia" w:hAnsiTheme="minorEastAsia" w:eastAsiaTheme="minorEastAsia"/>
                <w:color w:val="auto"/>
                <w:sz w:val="24"/>
                <w:szCs w:val="24"/>
                <w:highlight w:val="none"/>
              </w:rPr>
              <w:t>5900</w:t>
            </w:r>
          </w:p>
        </w:tc>
        <w:tc>
          <w:tcPr>
            <w:tcW w:w="2126" w:type="dxa"/>
            <w:vAlign w:val="center"/>
          </w:tcPr>
          <w:p w14:paraId="580C7F91">
            <w:pPr>
              <w:pStyle w:val="10"/>
              <w:jc w:val="center"/>
              <w:rPr>
                <w:rFonts w:cs="仿宋" w:asciiTheme="minorEastAsia" w:hAnsiTheme="minorEastAsia" w:eastAsiaTheme="minorEastAsia"/>
                <w:color w:val="auto"/>
                <w:highlight w:val="none"/>
              </w:rPr>
            </w:pPr>
          </w:p>
        </w:tc>
        <w:tc>
          <w:tcPr>
            <w:tcW w:w="1843" w:type="dxa"/>
            <w:vAlign w:val="center"/>
          </w:tcPr>
          <w:p w14:paraId="5B60D3D3">
            <w:pPr>
              <w:pStyle w:val="10"/>
              <w:jc w:val="center"/>
              <w:rPr>
                <w:rFonts w:cs="仿宋" w:asciiTheme="minorEastAsia" w:hAnsiTheme="minorEastAsia" w:eastAsiaTheme="minorEastAsia"/>
                <w:color w:val="auto"/>
                <w:kern w:val="2"/>
                <w:highlight w:val="none"/>
              </w:rPr>
            </w:pPr>
            <w:r>
              <w:rPr>
                <w:rFonts w:cs="仿宋" w:asciiTheme="minorEastAsia" w:hAnsiTheme="minorEastAsia" w:eastAsiaTheme="minorEastAsia"/>
                <w:color w:val="auto"/>
                <w:sz w:val="24"/>
                <w:szCs w:val="24"/>
                <w:highlight w:val="none"/>
              </w:rPr>
              <w:t>4125,000</w:t>
            </w:r>
          </w:p>
        </w:tc>
      </w:tr>
    </w:tbl>
    <w:p w14:paraId="69F35F9A">
      <w:pPr>
        <w:tabs>
          <w:tab w:val="left" w:pos="5130"/>
        </w:tabs>
        <w:spacing w:line="360" w:lineRule="auto"/>
        <w:ind w:firstLine="480" w:firstLineChars="200"/>
        <w:rPr>
          <w:rFonts w:ascii="宋体" w:hAnsi="宋体" w:cs="宋体"/>
          <w:color w:val="auto"/>
          <w:sz w:val="24"/>
          <w:szCs w:val="24"/>
          <w:highlight w:val="none"/>
        </w:rPr>
      </w:pPr>
    </w:p>
    <w:p w14:paraId="29BCC0E5">
      <w:pPr>
        <w:tabs>
          <w:tab w:val="left" w:pos="5130"/>
        </w:tabs>
        <w:spacing w:line="360" w:lineRule="auto"/>
        <w:ind w:firstLine="562" w:firstLineChars="200"/>
        <w:rPr>
          <w:rFonts w:ascii="宋体" w:hAnsi="宋体"/>
          <w:b/>
          <w:color w:val="auto"/>
          <w:sz w:val="28"/>
          <w:szCs w:val="28"/>
          <w:highlight w:val="none"/>
        </w:rPr>
      </w:pPr>
      <w:r>
        <w:rPr>
          <w:rFonts w:hint="eastAsia" w:ascii="宋体" w:hAnsi="宋体"/>
          <w:b/>
          <w:color w:val="auto"/>
          <w:sz w:val="28"/>
          <w:szCs w:val="28"/>
          <w:highlight w:val="none"/>
        </w:rPr>
        <w:t>二、主要技术参数及要求</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1187"/>
        <w:gridCol w:w="7954"/>
      </w:tblGrid>
      <w:tr w14:paraId="55A85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26B56E5F">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品目号</w:t>
            </w:r>
          </w:p>
        </w:tc>
        <w:tc>
          <w:tcPr>
            <w:tcW w:w="1194" w:type="dxa"/>
            <w:vAlign w:val="center"/>
          </w:tcPr>
          <w:p w14:paraId="5EB46DBA">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产品名称</w:t>
            </w:r>
          </w:p>
        </w:tc>
        <w:tc>
          <w:tcPr>
            <w:tcW w:w="8093" w:type="dxa"/>
            <w:vAlign w:val="center"/>
          </w:tcPr>
          <w:p w14:paraId="1DCD456B">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详细参数</w:t>
            </w:r>
          </w:p>
        </w:tc>
      </w:tr>
      <w:tr w14:paraId="68375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6E95A89">
            <w:pPr>
              <w:spacing w:line="360" w:lineRule="auto"/>
              <w:ind w:left="420" w:leftChars="200"/>
              <w:jc w:val="center"/>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1-1</w:t>
            </w:r>
          </w:p>
        </w:tc>
        <w:tc>
          <w:tcPr>
            <w:tcW w:w="1194" w:type="dxa"/>
            <w:vAlign w:val="center"/>
          </w:tcPr>
          <w:p w14:paraId="1A4C9A9E">
            <w:pPr>
              <w:spacing w:line="360" w:lineRule="auto"/>
              <w:ind w:left="420" w:leftChars="200"/>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教育壁挂型高拍仪</w:t>
            </w:r>
          </w:p>
          <w:p w14:paraId="12F27C42">
            <w:pPr>
              <w:spacing w:line="360" w:lineRule="auto"/>
              <w:jc w:val="center"/>
              <w:rPr>
                <w:rFonts w:cs="仿宋" w:asciiTheme="minorEastAsia" w:hAnsiTheme="minorEastAsia" w:eastAsiaTheme="minorEastAsia"/>
                <w:color w:val="auto"/>
                <w:sz w:val="24"/>
                <w:szCs w:val="24"/>
                <w:highlight w:val="none"/>
              </w:rPr>
            </w:pPr>
          </w:p>
        </w:tc>
        <w:tc>
          <w:tcPr>
            <w:tcW w:w="8093" w:type="dxa"/>
          </w:tcPr>
          <w:p w14:paraId="7221FF43">
            <w:pPr>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*1</w:t>
            </w:r>
            <w:r>
              <w:rPr>
                <w:rFonts w:hint="eastAsia" w:cs="仿宋" w:asciiTheme="minorEastAsia" w:hAnsiTheme="minorEastAsia" w:eastAsiaTheme="minorEastAsia"/>
                <w:b/>
                <w:color w:val="auto"/>
                <w:sz w:val="24"/>
                <w:szCs w:val="24"/>
                <w:highlight w:val="none"/>
              </w:rPr>
              <w:t>、箱体采用冷轧钢材质或铝合金材质外壳，内置机箱锁安全防盗，壁挂式安装。像素≥</w:t>
            </w:r>
            <w:r>
              <w:rPr>
                <w:rFonts w:cs="仿宋" w:asciiTheme="minorEastAsia" w:hAnsiTheme="minorEastAsia" w:eastAsiaTheme="minorEastAsia"/>
                <w:b/>
                <w:color w:val="auto"/>
                <w:sz w:val="24"/>
                <w:szCs w:val="24"/>
                <w:highlight w:val="none"/>
              </w:rPr>
              <w:t>1000</w:t>
            </w:r>
            <w:r>
              <w:rPr>
                <w:rFonts w:hint="eastAsia" w:cs="仿宋" w:asciiTheme="minorEastAsia" w:hAnsiTheme="minorEastAsia" w:eastAsiaTheme="minorEastAsia"/>
                <w:b/>
                <w:color w:val="auto"/>
                <w:sz w:val="24"/>
                <w:szCs w:val="24"/>
                <w:highlight w:val="none"/>
              </w:rPr>
              <w:t>万像素（不含软件插值），物理分辨率≥</w:t>
            </w:r>
            <w:r>
              <w:rPr>
                <w:rFonts w:cs="仿宋" w:asciiTheme="minorEastAsia" w:hAnsiTheme="minorEastAsia" w:eastAsiaTheme="minorEastAsia"/>
                <w:b/>
                <w:color w:val="auto"/>
                <w:sz w:val="24"/>
                <w:szCs w:val="24"/>
                <w:highlight w:val="none"/>
              </w:rPr>
              <w:t>3600*2700</w:t>
            </w:r>
            <w:r>
              <w:rPr>
                <w:rFonts w:hint="eastAsia" w:cs="仿宋" w:asciiTheme="minorEastAsia" w:hAnsiTheme="minorEastAsia" w:eastAsiaTheme="minorEastAsia"/>
                <w:b/>
                <w:color w:val="auto"/>
                <w:sz w:val="24"/>
                <w:szCs w:val="24"/>
                <w:highlight w:val="none"/>
              </w:rPr>
              <w:t>；拍摄幅面≥</w:t>
            </w:r>
            <w:r>
              <w:rPr>
                <w:rFonts w:cs="仿宋" w:asciiTheme="minorEastAsia" w:hAnsiTheme="minorEastAsia" w:eastAsiaTheme="minorEastAsia"/>
                <w:b/>
                <w:color w:val="auto"/>
                <w:sz w:val="24"/>
                <w:szCs w:val="24"/>
                <w:highlight w:val="none"/>
              </w:rPr>
              <w:t>A4</w:t>
            </w:r>
            <w:r>
              <w:rPr>
                <w:rFonts w:hint="eastAsia" w:cs="仿宋" w:asciiTheme="minorEastAsia" w:hAnsiTheme="minorEastAsia" w:eastAsiaTheme="minorEastAsia"/>
                <w:b/>
                <w:color w:val="auto"/>
                <w:sz w:val="24"/>
                <w:szCs w:val="24"/>
                <w:highlight w:val="none"/>
              </w:rPr>
              <w:t>。</w:t>
            </w:r>
          </w:p>
          <w:p w14:paraId="4047A4F3">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2</w:t>
            </w:r>
            <w:r>
              <w:rPr>
                <w:rFonts w:hint="eastAsia" w:cs="仿宋" w:asciiTheme="minorEastAsia" w:hAnsiTheme="minorEastAsia" w:eastAsiaTheme="minorEastAsia"/>
                <w:color w:val="auto"/>
                <w:sz w:val="24"/>
                <w:szCs w:val="24"/>
                <w:highlight w:val="none"/>
              </w:rPr>
              <w:t>、对焦方式：自动对焦或者定焦</w:t>
            </w:r>
          </w:p>
          <w:p w14:paraId="5DC6A409">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3</w:t>
            </w:r>
            <w:r>
              <w:rPr>
                <w:rFonts w:hint="eastAsia" w:cs="仿宋" w:asciiTheme="minorEastAsia" w:hAnsiTheme="minorEastAsia" w:eastAsiaTheme="minorEastAsia"/>
                <w:color w:val="auto"/>
                <w:sz w:val="24"/>
                <w:szCs w:val="24"/>
                <w:highlight w:val="none"/>
              </w:rPr>
              <w:t>、</w:t>
            </w:r>
            <w:r>
              <w:rPr>
                <w:rFonts w:cs="仿宋" w:asciiTheme="minorEastAsia" w:hAnsiTheme="minorEastAsia" w:eastAsiaTheme="minorEastAsia"/>
                <w:color w:val="auto"/>
                <w:sz w:val="24"/>
                <w:szCs w:val="24"/>
                <w:highlight w:val="none"/>
              </w:rPr>
              <w:t>USB5</w:t>
            </w:r>
            <w:r>
              <w:rPr>
                <w:rFonts w:hint="eastAsia" w:cs="仿宋" w:asciiTheme="minorEastAsia" w:hAnsiTheme="minorEastAsia" w:eastAsiaTheme="minorEastAsia"/>
                <w:color w:val="auto"/>
                <w:sz w:val="24"/>
                <w:szCs w:val="24"/>
                <w:highlight w:val="none"/>
              </w:rPr>
              <w:t>伏电源直接供电，环保无辐射。</w:t>
            </w:r>
          </w:p>
          <w:p w14:paraId="26E28C72">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4</w:t>
            </w:r>
            <w:r>
              <w:rPr>
                <w:rFonts w:hint="eastAsia" w:cs="仿宋" w:asciiTheme="minorEastAsia" w:hAnsiTheme="minorEastAsia" w:eastAsiaTheme="minorEastAsia"/>
                <w:color w:val="auto"/>
                <w:sz w:val="24"/>
                <w:szCs w:val="24"/>
                <w:highlight w:val="none"/>
              </w:rPr>
              <w:t>、顶部内置</w:t>
            </w:r>
            <w:r>
              <w:rPr>
                <w:rFonts w:cs="仿宋" w:asciiTheme="minorEastAsia" w:hAnsiTheme="minorEastAsia" w:eastAsiaTheme="minorEastAsia"/>
                <w:color w:val="auto"/>
                <w:sz w:val="24"/>
                <w:szCs w:val="24"/>
                <w:highlight w:val="none"/>
              </w:rPr>
              <w:t>LED</w:t>
            </w:r>
            <w:r>
              <w:rPr>
                <w:rFonts w:hint="eastAsia" w:cs="仿宋" w:asciiTheme="minorEastAsia" w:hAnsiTheme="minorEastAsia" w:eastAsiaTheme="minorEastAsia"/>
                <w:color w:val="auto"/>
                <w:sz w:val="24"/>
                <w:szCs w:val="24"/>
                <w:highlight w:val="none"/>
              </w:rPr>
              <w:t>灯进行补光，配备触控开关</w:t>
            </w:r>
          </w:p>
          <w:p w14:paraId="60F23738">
            <w:pPr>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*5</w:t>
            </w:r>
            <w:r>
              <w:rPr>
                <w:rFonts w:hint="eastAsia" w:cs="仿宋" w:asciiTheme="minorEastAsia" w:hAnsiTheme="minorEastAsia" w:eastAsiaTheme="minorEastAsia"/>
                <w:b/>
                <w:color w:val="auto"/>
                <w:sz w:val="24"/>
                <w:szCs w:val="24"/>
                <w:highlight w:val="none"/>
              </w:rPr>
              <w:t>、软件界面与功能图标内嵌中文，清晰易用，老师不用查阅帮助就能知道各功能如何使用，减少误操作。</w:t>
            </w:r>
          </w:p>
          <w:p w14:paraId="47DD4F2B">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b/>
                <w:color w:val="auto"/>
                <w:sz w:val="24"/>
                <w:szCs w:val="24"/>
                <w:highlight w:val="none"/>
              </w:rPr>
              <w:t>*6</w:t>
            </w:r>
            <w:r>
              <w:rPr>
                <w:rFonts w:hint="eastAsia" w:cs="仿宋" w:asciiTheme="minorEastAsia" w:hAnsiTheme="minorEastAsia" w:eastAsiaTheme="minorEastAsia"/>
                <w:b/>
                <w:color w:val="auto"/>
                <w:sz w:val="24"/>
                <w:szCs w:val="24"/>
                <w:highlight w:val="none"/>
              </w:rPr>
              <w:t>、软件功能：提供多种画笔选择，实现即时划线批注，画笔的设置效果可以通过预览框所见所得。有清空、擦除及桌面白板批注、保存、动态文字添加功能，具有对比教学等功能，批注侧栏可一键隐藏；触摸即时自由缩放</w:t>
            </w:r>
            <w:r>
              <w:rPr>
                <w:rFonts w:hint="eastAsia" w:cs="仿宋" w:asciiTheme="minorEastAsia" w:hAnsiTheme="minorEastAsia" w:eastAsiaTheme="minorEastAsia"/>
                <w:b/>
                <w:color w:val="auto"/>
                <w:sz w:val="24"/>
                <w:szCs w:val="24"/>
                <w:highlight w:val="none"/>
              </w:rPr>
              <w:t>。</w:t>
            </w:r>
          </w:p>
          <w:p w14:paraId="4B62B691">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7</w:t>
            </w:r>
            <w:r>
              <w:rPr>
                <w:rFonts w:hint="eastAsia" w:cs="仿宋" w:asciiTheme="minorEastAsia" w:hAnsiTheme="minorEastAsia" w:eastAsiaTheme="minorEastAsia"/>
                <w:color w:val="auto"/>
                <w:sz w:val="24"/>
                <w:szCs w:val="24"/>
                <w:highlight w:val="none"/>
              </w:rPr>
              <w:t>、自动检测：软件支持故障自检功能，帮助用户检测“无画面”的原因。</w:t>
            </w:r>
          </w:p>
        </w:tc>
      </w:tr>
      <w:tr w14:paraId="32105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BBAAB11">
            <w:pPr>
              <w:spacing w:line="360" w:lineRule="auto"/>
              <w:jc w:val="center"/>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1-2</w:t>
            </w:r>
          </w:p>
        </w:tc>
        <w:tc>
          <w:tcPr>
            <w:tcW w:w="1194" w:type="dxa"/>
            <w:vAlign w:val="center"/>
          </w:tcPr>
          <w:p w14:paraId="391A73E8">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教育桌面型高拍仪</w:t>
            </w:r>
          </w:p>
        </w:tc>
        <w:tc>
          <w:tcPr>
            <w:tcW w:w="8093" w:type="dxa"/>
          </w:tcPr>
          <w:p w14:paraId="2AFE0FF6">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w:t>
            </w:r>
            <w:r>
              <w:rPr>
                <w:rFonts w:hint="eastAsia" w:cs="仿宋" w:asciiTheme="minorEastAsia" w:hAnsiTheme="minorEastAsia" w:eastAsiaTheme="minorEastAsia"/>
                <w:color w:val="auto"/>
                <w:sz w:val="24"/>
                <w:szCs w:val="24"/>
                <w:highlight w:val="none"/>
              </w:rPr>
              <w:t>、桌面式高拍仪</w:t>
            </w:r>
          </w:p>
          <w:p w14:paraId="522FC238">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b/>
                <w:color w:val="auto"/>
                <w:sz w:val="24"/>
                <w:szCs w:val="24"/>
                <w:highlight w:val="none"/>
              </w:rPr>
              <w:t>*2</w:t>
            </w:r>
            <w:r>
              <w:rPr>
                <w:rFonts w:hint="eastAsia" w:cs="仿宋" w:asciiTheme="minorEastAsia" w:hAnsiTheme="minorEastAsia" w:eastAsiaTheme="minorEastAsia"/>
                <w:b/>
                <w:color w:val="auto"/>
                <w:sz w:val="24"/>
                <w:szCs w:val="24"/>
                <w:highlight w:val="none"/>
              </w:rPr>
              <w:t>、像素≥</w:t>
            </w:r>
            <w:r>
              <w:rPr>
                <w:rFonts w:cs="仿宋" w:asciiTheme="minorEastAsia" w:hAnsiTheme="minorEastAsia" w:eastAsiaTheme="minorEastAsia"/>
                <w:b/>
                <w:color w:val="auto"/>
                <w:sz w:val="24"/>
                <w:szCs w:val="24"/>
                <w:highlight w:val="none"/>
              </w:rPr>
              <w:t>1000</w:t>
            </w:r>
            <w:r>
              <w:rPr>
                <w:rFonts w:hint="eastAsia" w:cs="仿宋" w:asciiTheme="minorEastAsia" w:hAnsiTheme="minorEastAsia" w:eastAsiaTheme="minorEastAsia"/>
                <w:b/>
                <w:color w:val="auto"/>
                <w:sz w:val="24"/>
                <w:szCs w:val="24"/>
                <w:highlight w:val="none"/>
              </w:rPr>
              <w:t>万，物理分辨率≥</w:t>
            </w:r>
            <w:r>
              <w:rPr>
                <w:rFonts w:cs="仿宋" w:asciiTheme="minorEastAsia" w:hAnsiTheme="minorEastAsia" w:eastAsiaTheme="minorEastAsia"/>
                <w:b/>
                <w:color w:val="auto"/>
                <w:sz w:val="24"/>
                <w:szCs w:val="24"/>
                <w:highlight w:val="none"/>
              </w:rPr>
              <w:t>3200*2400</w:t>
            </w:r>
            <w:r>
              <w:rPr>
                <w:rFonts w:hint="eastAsia" w:cs="仿宋" w:asciiTheme="minorEastAsia" w:hAnsiTheme="minorEastAsia" w:eastAsiaTheme="minorEastAsia"/>
                <w:b/>
                <w:color w:val="auto"/>
                <w:sz w:val="24"/>
                <w:szCs w:val="24"/>
                <w:highlight w:val="none"/>
              </w:rPr>
              <w:t>；拍摄最大幅面≥</w:t>
            </w:r>
            <w:r>
              <w:rPr>
                <w:rFonts w:cs="仿宋" w:asciiTheme="minorEastAsia" w:hAnsiTheme="minorEastAsia" w:eastAsiaTheme="minorEastAsia"/>
                <w:b/>
                <w:color w:val="auto"/>
                <w:sz w:val="24"/>
                <w:szCs w:val="24"/>
                <w:highlight w:val="none"/>
              </w:rPr>
              <w:t>A3</w:t>
            </w:r>
            <w:r>
              <w:rPr>
                <w:rFonts w:hint="eastAsia" w:cs="仿宋" w:asciiTheme="minorEastAsia" w:hAnsiTheme="minorEastAsia" w:eastAsiaTheme="minorEastAsia"/>
                <w:b/>
                <w:color w:val="auto"/>
                <w:sz w:val="24"/>
                <w:szCs w:val="24"/>
                <w:highlight w:val="none"/>
              </w:rPr>
              <w:t>，标配软垫。</w:t>
            </w:r>
          </w:p>
          <w:p w14:paraId="3CC6BE20">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3</w:t>
            </w:r>
            <w:r>
              <w:rPr>
                <w:rFonts w:hint="eastAsia" w:cs="仿宋" w:asciiTheme="minorEastAsia" w:hAnsiTheme="minorEastAsia" w:eastAsiaTheme="minorEastAsia"/>
                <w:color w:val="auto"/>
                <w:sz w:val="24"/>
                <w:szCs w:val="24"/>
                <w:highlight w:val="none"/>
              </w:rPr>
              <w:t>、内置信号增强功能，支持</w:t>
            </w:r>
            <w:r>
              <w:rPr>
                <w:rFonts w:cs="仿宋" w:asciiTheme="minorEastAsia" w:hAnsiTheme="minorEastAsia" w:eastAsiaTheme="minorEastAsia"/>
                <w:color w:val="auto"/>
                <w:sz w:val="24"/>
                <w:szCs w:val="24"/>
                <w:highlight w:val="none"/>
              </w:rPr>
              <w:t>5</w:t>
            </w:r>
            <w:r>
              <w:rPr>
                <w:rFonts w:hint="eastAsia" w:cs="仿宋" w:asciiTheme="minorEastAsia" w:hAnsiTheme="minorEastAsia" w:eastAsiaTheme="minorEastAsia"/>
                <w:color w:val="auto"/>
                <w:sz w:val="24"/>
                <w:szCs w:val="24"/>
                <w:highlight w:val="none"/>
              </w:rPr>
              <w:t>米</w:t>
            </w:r>
            <w:r>
              <w:rPr>
                <w:rFonts w:cs="仿宋" w:asciiTheme="minorEastAsia" w:hAnsiTheme="minorEastAsia" w:eastAsiaTheme="minorEastAsia"/>
                <w:color w:val="auto"/>
                <w:sz w:val="24"/>
                <w:szCs w:val="24"/>
                <w:highlight w:val="none"/>
              </w:rPr>
              <w:t>USB</w:t>
            </w:r>
            <w:r>
              <w:rPr>
                <w:rFonts w:hint="eastAsia" w:cs="仿宋" w:asciiTheme="minorEastAsia" w:hAnsiTheme="minorEastAsia" w:eastAsiaTheme="minorEastAsia"/>
                <w:color w:val="auto"/>
                <w:sz w:val="24"/>
                <w:szCs w:val="24"/>
                <w:highlight w:val="none"/>
              </w:rPr>
              <w:t>数据线连接，性能稳定。</w:t>
            </w:r>
            <w:r>
              <w:rPr>
                <w:rFonts w:cs="仿宋" w:asciiTheme="minorEastAsia" w:hAnsiTheme="minorEastAsia" w:eastAsiaTheme="minorEastAsia"/>
                <w:color w:val="auto"/>
                <w:sz w:val="24"/>
                <w:szCs w:val="24"/>
                <w:highlight w:val="none"/>
              </w:rPr>
              <w:t xml:space="preserve"> </w:t>
            </w:r>
          </w:p>
          <w:p w14:paraId="1BF52679">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4</w:t>
            </w:r>
            <w:r>
              <w:rPr>
                <w:rFonts w:hint="eastAsia" w:cs="仿宋" w:asciiTheme="minorEastAsia" w:hAnsiTheme="minorEastAsia" w:eastAsiaTheme="minorEastAsia"/>
                <w:color w:val="auto"/>
                <w:sz w:val="24"/>
                <w:szCs w:val="24"/>
                <w:highlight w:val="none"/>
              </w:rPr>
              <w:t>、对焦方式：自动对焦或手动对焦</w:t>
            </w:r>
            <w:r>
              <w:rPr>
                <w:rFonts w:cs="仿宋" w:asciiTheme="minorEastAsia" w:hAnsiTheme="minorEastAsia" w:eastAsiaTheme="minorEastAsia"/>
                <w:color w:val="auto"/>
                <w:sz w:val="24"/>
                <w:szCs w:val="24"/>
                <w:highlight w:val="none"/>
              </w:rPr>
              <w:t>/</w:t>
            </w:r>
            <w:r>
              <w:rPr>
                <w:rFonts w:hint="eastAsia" w:cs="仿宋" w:asciiTheme="minorEastAsia" w:hAnsiTheme="minorEastAsia" w:eastAsiaTheme="minorEastAsia"/>
                <w:color w:val="auto"/>
                <w:sz w:val="24"/>
                <w:szCs w:val="24"/>
                <w:highlight w:val="none"/>
              </w:rPr>
              <w:t>定焦</w:t>
            </w:r>
            <w:r>
              <w:rPr>
                <w:rFonts w:hint="eastAsia" w:cs="仿宋" w:asciiTheme="minorEastAsia" w:hAnsiTheme="minorEastAsia" w:eastAsiaTheme="minorEastAsia"/>
                <w:color w:val="auto"/>
                <w:sz w:val="24"/>
                <w:szCs w:val="24"/>
                <w:highlight w:val="none"/>
              </w:rPr>
              <w:t>。</w:t>
            </w:r>
          </w:p>
          <w:p w14:paraId="151A5DC9">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5</w:t>
            </w:r>
            <w:r>
              <w:rPr>
                <w:rFonts w:hint="eastAsia" w:cs="仿宋" w:asciiTheme="minorEastAsia" w:hAnsiTheme="minorEastAsia" w:eastAsiaTheme="minorEastAsia"/>
                <w:color w:val="auto"/>
                <w:sz w:val="24"/>
                <w:szCs w:val="24"/>
                <w:highlight w:val="none"/>
              </w:rPr>
              <w:t>、设备内置</w:t>
            </w:r>
            <w:r>
              <w:rPr>
                <w:rFonts w:cs="仿宋" w:asciiTheme="minorEastAsia" w:hAnsiTheme="minorEastAsia" w:eastAsiaTheme="minorEastAsia"/>
                <w:color w:val="auto"/>
                <w:sz w:val="24"/>
                <w:szCs w:val="24"/>
                <w:highlight w:val="none"/>
              </w:rPr>
              <w:t>LED</w:t>
            </w:r>
            <w:r>
              <w:rPr>
                <w:rFonts w:hint="eastAsia" w:cs="仿宋" w:asciiTheme="minorEastAsia" w:hAnsiTheme="minorEastAsia" w:eastAsiaTheme="minorEastAsia"/>
                <w:color w:val="auto"/>
                <w:sz w:val="24"/>
                <w:szCs w:val="24"/>
                <w:highlight w:val="none"/>
              </w:rPr>
              <w:t>灯，可触摸式三级调光。</w:t>
            </w:r>
          </w:p>
          <w:p w14:paraId="6313CD25">
            <w:pPr>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*6</w:t>
            </w:r>
            <w:r>
              <w:rPr>
                <w:rFonts w:hint="eastAsia" w:cs="仿宋" w:asciiTheme="minorEastAsia" w:hAnsiTheme="minorEastAsia" w:eastAsiaTheme="minorEastAsia"/>
                <w:b/>
                <w:color w:val="auto"/>
                <w:sz w:val="24"/>
                <w:szCs w:val="24"/>
                <w:highlight w:val="none"/>
              </w:rPr>
              <w:t>、界面与功能图标内嵌中文，清晰易用，老师不用查阅帮助就能使用，减少误操作。软件功能：预设多种笔划、粗细及颜色供选择，预设的效果可以通过预览框显示，支持对展台画面联同批注内容进行同步缩放、移动，电子白板、对比教学等功能。</w:t>
            </w:r>
          </w:p>
          <w:p w14:paraId="63870BAB">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7</w:t>
            </w:r>
            <w:r>
              <w:rPr>
                <w:rFonts w:hint="eastAsia" w:cs="仿宋" w:asciiTheme="minorEastAsia" w:hAnsiTheme="minorEastAsia" w:eastAsiaTheme="minorEastAsia"/>
                <w:color w:val="auto"/>
                <w:sz w:val="24"/>
                <w:szCs w:val="24"/>
                <w:highlight w:val="none"/>
              </w:rPr>
              <w:t>、自动检测：软件支持故障自检功能，帮助用户检测“无画面”的原因。</w:t>
            </w:r>
          </w:p>
        </w:tc>
      </w:tr>
      <w:tr w14:paraId="09DF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4B53264">
            <w:pPr>
              <w:spacing w:line="360" w:lineRule="auto"/>
              <w:jc w:val="center"/>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1-3</w:t>
            </w:r>
          </w:p>
        </w:tc>
        <w:tc>
          <w:tcPr>
            <w:tcW w:w="1194" w:type="dxa"/>
            <w:vAlign w:val="center"/>
          </w:tcPr>
          <w:p w14:paraId="7EFEAA11">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一体式</w:t>
            </w:r>
            <w:r>
              <w:rPr>
                <w:rFonts w:cs="仿宋" w:asciiTheme="minorEastAsia" w:hAnsiTheme="minorEastAsia" w:eastAsiaTheme="minorEastAsia"/>
                <w:color w:val="auto"/>
                <w:sz w:val="24"/>
                <w:szCs w:val="24"/>
                <w:highlight w:val="none"/>
              </w:rPr>
              <w:t>A4</w:t>
            </w:r>
            <w:r>
              <w:rPr>
                <w:rFonts w:hint="eastAsia" w:cs="仿宋" w:asciiTheme="minorEastAsia" w:hAnsiTheme="minorEastAsia" w:eastAsiaTheme="minorEastAsia"/>
                <w:color w:val="auto"/>
                <w:sz w:val="24"/>
                <w:szCs w:val="24"/>
                <w:highlight w:val="none"/>
              </w:rPr>
              <w:t>幅面高拍仪</w:t>
            </w:r>
          </w:p>
          <w:p w14:paraId="2D09D6DA">
            <w:pPr>
              <w:spacing w:line="360" w:lineRule="auto"/>
              <w:jc w:val="center"/>
              <w:rPr>
                <w:rFonts w:cs="仿宋" w:asciiTheme="minorEastAsia" w:hAnsiTheme="minorEastAsia" w:eastAsiaTheme="minorEastAsia"/>
                <w:color w:val="auto"/>
                <w:sz w:val="24"/>
                <w:szCs w:val="24"/>
                <w:highlight w:val="none"/>
              </w:rPr>
            </w:pPr>
          </w:p>
        </w:tc>
        <w:tc>
          <w:tcPr>
            <w:tcW w:w="8093" w:type="dxa"/>
          </w:tcPr>
          <w:p w14:paraId="3AACF5A0">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 xml:space="preserve">1 </w:t>
            </w:r>
            <w:r>
              <w:rPr>
                <w:rFonts w:hint="eastAsia" w:cs="仿宋" w:asciiTheme="minorEastAsia" w:hAnsiTheme="minorEastAsia" w:eastAsiaTheme="minorEastAsia"/>
                <w:color w:val="auto"/>
                <w:sz w:val="24"/>
                <w:szCs w:val="24"/>
                <w:highlight w:val="none"/>
              </w:rPr>
              <w:t>、</w:t>
            </w:r>
            <w:r>
              <w:rPr>
                <w:rFonts w:cs="仿宋" w:asciiTheme="minorEastAsia" w:hAnsiTheme="minorEastAsia" w:eastAsiaTheme="minorEastAsia"/>
                <w:color w:val="auto"/>
                <w:sz w:val="24"/>
                <w:szCs w:val="24"/>
                <w:highlight w:val="none"/>
              </w:rPr>
              <w:t>ABS</w:t>
            </w:r>
            <w:r>
              <w:rPr>
                <w:rFonts w:hint="eastAsia" w:cs="仿宋" w:asciiTheme="minorEastAsia" w:hAnsiTheme="minorEastAsia" w:eastAsiaTheme="minorEastAsia"/>
                <w:color w:val="auto"/>
                <w:sz w:val="24"/>
                <w:szCs w:val="24"/>
                <w:highlight w:val="none"/>
              </w:rPr>
              <w:t>（头壳）</w:t>
            </w:r>
            <w:r>
              <w:rPr>
                <w:rFonts w:cs="仿宋" w:asciiTheme="minorEastAsia" w:hAnsiTheme="minorEastAsia" w:eastAsiaTheme="minorEastAsia"/>
                <w:color w:val="auto"/>
                <w:sz w:val="24"/>
                <w:szCs w:val="24"/>
                <w:highlight w:val="none"/>
              </w:rPr>
              <w:t>+</w:t>
            </w:r>
            <w:r>
              <w:rPr>
                <w:rFonts w:hint="eastAsia" w:cs="仿宋" w:asciiTheme="minorEastAsia" w:hAnsiTheme="minorEastAsia" w:eastAsiaTheme="minorEastAsia"/>
                <w:color w:val="auto"/>
                <w:sz w:val="24"/>
                <w:szCs w:val="24"/>
                <w:highlight w:val="none"/>
              </w:rPr>
              <w:t>铝合金（支撑杆）</w:t>
            </w:r>
            <w:r>
              <w:rPr>
                <w:rFonts w:cs="仿宋" w:asciiTheme="minorEastAsia" w:hAnsiTheme="minorEastAsia" w:eastAsiaTheme="minorEastAsia"/>
                <w:color w:val="auto"/>
                <w:sz w:val="24"/>
                <w:szCs w:val="24"/>
                <w:highlight w:val="none"/>
              </w:rPr>
              <w:t>+ABS</w:t>
            </w:r>
            <w:r>
              <w:rPr>
                <w:rFonts w:hint="eastAsia" w:cs="仿宋" w:asciiTheme="minorEastAsia" w:hAnsiTheme="minorEastAsia" w:eastAsiaTheme="minorEastAsia"/>
                <w:color w:val="auto"/>
                <w:sz w:val="24"/>
                <w:szCs w:val="24"/>
                <w:highlight w:val="none"/>
              </w:rPr>
              <w:t>（底座）</w:t>
            </w:r>
            <w:r>
              <w:rPr>
                <w:rFonts w:hint="eastAsia" w:cs="仿宋" w:asciiTheme="minorEastAsia" w:hAnsiTheme="minorEastAsia" w:eastAsiaTheme="minorEastAsia"/>
                <w:color w:val="auto"/>
                <w:sz w:val="24"/>
                <w:szCs w:val="24"/>
                <w:highlight w:val="none"/>
              </w:rPr>
              <w:t>。</w:t>
            </w:r>
          </w:p>
          <w:p w14:paraId="1BB1DB36">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b/>
                <w:color w:val="auto"/>
                <w:sz w:val="24"/>
                <w:szCs w:val="24"/>
                <w:highlight w:val="none"/>
              </w:rPr>
              <w:t xml:space="preserve">*2 </w:t>
            </w:r>
            <w:r>
              <w:rPr>
                <w:rFonts w:hint="eastAsia" w:cs="仿宋" w:asciiTheme="minorEastAsia" w:hAnsiTheme="minorEastAsia" w:eastAsiaTheme="minorEastAsia"/>
                <w:b/>
                <w:color w:val="auto"/>
                <w:sz w:val="24"/>
                <w:szCs w:val="24"/>
                <w:highlight w:val="none"/>
              </w:rPr>
              <w:t>、机身和文稿台采用一插到位的设计方式，简便拆装工序，精准定位、稳固大方</w:t>
            </w:r>
            <w:r>
              <w:rPr>
                <w:rFonts w:cs="仿宋" w:asciiTheme="minorEastAsia" w:hAnsiTheme="minorEastAsia" w:eastAsiaTheme="minorEastAsia"/>
                <w:b/>
                <w:color w:val="auto"/>
                <w:sz w:val="24"/>
                <w:szCs w:val="24"/>
                <w:highlight w:val="none"/>
              </w:rPr>
              <w:t>.</w:t>
            </w:r>
            <w:r>
              <w:rPr>
                <w:rFonts w:hint="eastAsia" w:cs="仿宋" w:asciiTheme="minorEastAsia" w:hAnsiTheme="minorEastAsia" w:eastAsiaTheme="minorEastAsia"/>
                <w:b/>
                <w:color w:val="auto"/>
                <w:sz w:val="24"/>
                <w:szCs w:val="24"/>
                <w:highlight w:val="none"/>
              </w:rPr>
              <w:t>具备</w:t>
            </w:r>
            <w:r>
              <w:rPr>
                <w:rFonts w:cs="仿宋" w:asciiTheme="minorEastAsia" w:hAnsiTheme="minorEastAsia" w:eastAsiaTheme="minorEastAsia"/>
                <w:b/>
                <w:color w:val="auto"/>
                <w:sz w:val="24"/>
                <w:szCs w:val="24"/>
                <w:highlight w:val="none"/>
              </w:rPr>
              <w:t>OCR</w:t>
            </w:r>
            <w:r>
              <w:rPr>
                <w:rFonts w:hint="eastAsia" w:cs="仿宋" w:asciiTheme="minorEastAsia" w:hAnsiTheme="minorEastAsia" w:eastAsiaTheme="minorEastAsia"/>
                <w:b/>
                <w:color w:val="auto"/>
                <w:sz w:val="24"/>
                <w:szCs w:val="24"/>
                <w:highlight w:val="none"/>
              </w:rPr>
              <w:t>文字识别；可免费提供二次开发包</w:t>
            </w:r>
            <w:r>
              <w:rPr>
                <w:rFonts w:hint="eastAsia" w:cs="仿宋" w:asciiTheme="minorEastAsia" w:hAnsiTheme="minorEastAsia" w:eastAsiaTheme="minorEastAsia"/>
                <w:b/>
                <w:color w:val="auto"/>
                <w:sz w:val="24"/>
                <w:szCs w:val="24"/>
                <w:highlight w:val="none"/>
              </w:rPr>
              <w:t>。</w:t>
            </w:r>
          </w:p>
          <w:p w14:paraId="2887CCCA">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3</w:t>
            </w:r>
            <w:r>
              <w:rPr>
                <w:rFonts w:hint="eastAsia" w:cs="仿宋" w:asciiTheme="minorEastAsia" w:hAnsiTheme="minorEastAsia" w:eastAsiaTheme="minorEastAsia"/>
                <w:color w:val="auto"/>
                <w:sz w:val="24"/>
                <w:szCs w:val="24"/>
                <w:highlight w:val="none"/>
              </w:rPr>
              <w:t>、对焦方式：自动对焦或者定焦</w:t>
            </w:r>
            <w:r>
              <w:rPr>
                <w:rFonts w:hint="eastAsia" w:cs="仿宋" w:asciiTheme="minorEastAsia" w:hAnsiTheme="minorEastAsia" w:eastAsiaTheme="minorEastAsia"/>
                <w:color w:val="auto"/>
                <w:sz w:val="24"/>
                <w:szCs w:val="24"/>
                <w:highlight w:val="none"/>
              </w:rPr>
              <w:t>。</w:t>
            </w:r>
          </w:p>
          <w:p w14:paraId="0D45D92B">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4</w:t>
            </w:r>
            <w:r>
              <w:rPr>
                <w:rFonts w:hint="eastAsia" w:cs="仿宋" w:asciiTheme="minorEastAsia" w:hAnsiTheme="minorEastAsia" w:eastAsiaTheme="minorEastAsia"/>
                <w:color w:val="auto"/>
                <w:sz w:val="24"/>
                <w:szCs w:val="24"/>
                <w:highlight w:val="none"/>
              </w:rPr>
              <w:t>、扫描尺寸：</w:t>
            </w:r>
            <w:r>
              <w:rPr>
                <w:rFonts w:cs="仿宋" w:asciiTheme="minorEastAsia" w:hAnsiTheme="minorEastAsia" w:eastAsiaTheme="minorEastAsia"/>
                <w:color w:val="auto"/>
                <w:sz w:val="24"/>
                <w:szCs w:val="24"/>
                <w:highlight w:val="none"/>
              </w:rPr>
              <w:t>A4</w:t>
            </w:r>
            <w:r>
              <w:rPr>
                <w:rFonts w:hint="eastAsia" w:cs="仿宋" w:asciiTheme="minorEastAsia" w:hAnsiTheme="minorEastAsia" w:eastAsiaTheme="minorEastAsia"/>
                <w:color w:val="auto"/>
                <w:sz w:val="24"/>
                <w:szCs w:val="24"/>
                <w:highlight w:val="none"/>
              </w:rPr>
              <w:t>、</w:t>
            </w:r>
            <w:r>
              <w:rPr>
                <w:rFonts w:cs="仿宋" w:asciiTheme="minorEastAsia" w:hAnsiTheme="minorEastAsia" w:eastAsiaTheme="minorEastAsia"/>
                <w:color w:val="auto"/>
                <w:sz w:val="24"/>
                <w:szCs w:val="24"/>
                <w:highlight w:val="none"/>
              </w:rPr>
              <w:t>A5</w:t>
            </w:r>
            <w:r>
              <w:rPr>
                <w:rFonts w:hint="eastAsia" w:cs="仿宋" w:asciiTheme="minorEastAsia" w:hAnsiTheme="minorEastAsia" w:eastAsiaTheme="minorEastAsia"/>
                <w:color w:val="auto"/>
                <w:sz w:val="24"/>
                <w:szCs w:val="24"/>
                <w:highlight w:val="none"/>
              </w:rPr>
              <w:t>、</w:t>
            </w:r>
            <w:r>
              <w:rPr>
                <w:rFonts w:cs="仿宋" w:asciiTheme="minorEastAsia" w:hAnsiTheme="minorEastAsia" w:eastAsiaTheme="minorEastAsia"/>
                <w:color w:val="auto"/>
                <w:sz w:val="24"/>
                <w:szCs w:val="24"/>
                <w:highlight w:val="none"/>
              </w:rPr>
              <w:t>A6</w:t>
            </w:r>
            <w:r>
              <w:rPr>
                <w:rFonts w:hint="eastAsia" w:cs="仿宋" w:asciiTheme="minorEastAsia" w:hAnsiTheme="minorEastAsia" w:eastAsiaTheme="minorEastAsia"/>
                <w:color w:val="auto"/>
                <w:sz w:val="24"/>
                <w:szCs w:val="24"/>
                <w:highlight w:val="none"/>
              </w:rPr>
              <w:t>、名片以及证件等</w:t>
            </w:r>
            <w:r>
              <w:rPr>
                <w:rFonts w:hint="eastAsia" w:cs="仿宋" w:asciiTheme="minorEastAsia" w:hAnsiTheme="minorEastAsia" w:eastAsiaTheme="minorEastAsia"/>
                <w:color w:val="auto"/>
                <w:sz w:val="24"/>
                <w:szCs w:val="24"/>
                <w:highlight w:val="none"/>
              </w:rPr>
              <w:t>。</w:t>
            </w:r>
          </w:p>
          <w:p w14:paraId="241C0995">
            <w:pPr>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支持文档、单据、图片、照片、立体实物、银行卡以及各种类别身份证件等。</w:t>
            </w:r>
          </w:p>
          <w:p w14:paraId="21F36312">
            <w:pPr>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*5</w:t>
            </w:r>
            <w:r>
              <w:rPr>
                <w:rFonts w:hint="eastAsia" w:cs="仿宋" w:asciiTheme="minorEastAsia" w:hAnsiTheme="minorEastAsia" w:eastAsiaTheme="minorEastAsia"/>
                <w:b/>
                <w:color w:val="auto"/>
                <w:sz w:val="24"/>
                <w:szCs w:val="24"/>
                <w:highlight w:val="none"/>
              </w:rPr>
              <w:t>、主摄像头：像素≥</w:t>
            </w:r>
            <w:r>
              <w:rPr>
                <w:rFonts w:cs="仿宋" w:asciiTheme="minorEastAsia" w:hAnsiTheme="minorEastAsia" w:eastAsiaTheme="minorEastAsia"/>
                <w:b/>
                <w:color w:val="auto"/>
                <w:sz w:val="24"/>
                <w:szCs w:val="24"/>
                <w:highlight w:val="none"/>
              </w:rPr>
              <w:t>1000</w:t>
            </w:r>
            <w:r>
              <w:rPr>
                <w:rFonts w:hint="eastAsia" w:cs="仿宋" w:asciiTheme="minorEastAsia" w:hAnsiTheme="minorEastAsia" w:eastAsiaTheme="minorEastAsia"/>
                <w:b/>
                <w:color w:val="auto"/>
                <w:sz w:val="24"/>
                <w:szCs w:val="24"/>
                <w:highlight w:val="none"/>
              </w:rPr>
              <w:t>万，物理分辨率≥</w:t>
            </w:r>
            <w:r>
              <w:rPr>
                <w:rFonts w:cs="仿宋" w:asciiTheme="minorEastAsia" w:hAnsiTheme="minorEastAsia" w:eastAsiaTheme="minorEastAsia"/>
                <w:b/>
                <w:color w:val="auto"/>
                <w:sz w:val="24"/>
                <w:szCs w:val="24"/>
                <w:highlight w:val="none"/>
              </w:rPr>
              <w:t>3200*2400</w:t>
            </w:r>
            <w:r>
              <w:rPr>
                <w:rFonts w:hint="eastAsia" w:cs="仿宋" w:asciiTheme="minorEastAsia" w:hAnsiTheme="minorEastAsia" w:eastAsiaTheme="minorEastAsia"/>
                <w:b/>
                <w:color w:val="auto"/>
                <w:sz w:val="24"/>
                <w:szCs w:val="24"/>
                <w:highlight w:val="none"/>
              </w:rPr>
              <w:t>）；辅摄像头：像素≥</w:t>
            </w:r>
            <w:r>
              <w:rPr>
                <w:rFonts w:cs="仿宋" w:asciiTheme="minorEastAsia" w:hAnsiTheme="minorEastAsia" w:eastAsiaTheme="minorEastAsia"/>
                <w:b/>
                <w:color w:val="auto"/>
                <w:sz w:val="24"/>
                <w:szCs w:val="24"/>
                <w:highlight w:val="none"/>
              </w:rPr>
              <w:t>200</w:t>
            </w:r>
            <w:r>
              <w:rPr>
                <w:rFonts w:hint="eastAsia" w:cs="仿宋" w:asciiTheme="minorEastAsia" w:hAnsiTheme="minorEastAsia" w:eastAsiaTheme="minorEastAsia"/>
                <w:b/>
                <w:color w:val="auto"/>
                <w:sz w:val="24"/>
                <w:szCs w:val="24"/>
                <w:highlight w:val="none"/>
              </w:rPr>
              <w:t>万（分辨率≥</w:t>
            </w:r>
            <w:r>
              <w:rPr>
                <w:rFonts w:cs="仿宋" w:asciiTheme="minorEastAsia" w:hAnsiTheme="minorEastAsia" w:eastAsiaTheme="minorEastAsia"/>
                <w:b/>
                <w:color w:val="auto"/>
                <w:sz w:val="24"/>
                <w:szCs w:val="24"/>
                <w:highlight w:val="none"/>
              </w:rPr>
              <w:t>1600*1200</w:t>
            </w:r>
            <w:r>
              <w:rPr>
                <w:rFonts w:hint="eastAsia" w:cs="仿宋" w:asciiTheme="minorEastAsia" w:hAnsiTheme="minorEastAsia" w:eastAsiaTheme="minorEastAsia"/>
                <w:b/>
                <w:color w:val="auto"/>
                <w:sz w:val="24"/>
                <w:szCs w:val="24"/>
                <w:highlight w:val="none"/>
              </w:rPr>
              <w:t>）</w:t>
            </w:r>
            <w:r>
              <w:rPr>
                <w:rFonts w:hint="eastAsia" w:cs="仿宋" w:asciiTheme="minorEastAsia" w:hAnsiTheme="minorEastAsia" w:eastAsiaTheme="minorEastAsia"/>
                <w:b/>
                <w:color w:val="auto"/>
                <w:sz w:val="24"/>
                <w:szCs w:val="24"/>
                <w:highlight w:val="none"/>
              </w:rPr>
              <w:t>。</w:t>
            </w:r>
          </w:p>
          <w:p w14:paraId="682A9BAA">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6</w:t>
            </w:r>
            <w:r>
              <w:rPr>
                <w:rFonts w:hint="eastAsia" w:cs="仿宋" w:asciiTheme="minorEastAsia" w:hAnsiTheme="minorEastAsia" w:eastAsiaTheme="minorEastAsia"/>
                <w:color w:val="auto"/>
                <w:sz w:val="24"/>
                <w:szCs w:val="24"/>
                <w:highlight w:val="none"/>
              </w:rPr>
              <w:t>、光源：自然光</w:t>
            </w:r>
            <w:r>
              <w:rPr>
                <w:rFonts w:cs="仿宋" w:asciiTheme="minorEastAsia" w:hAnsiTheme="minorEastAsia" w:eastAsiaTheme="minorEastAsia"/>
                <w:color w:val="auto"/>
                <w:sz w:val="24"/>
                <w:szCs w:val="24"/>
                <w:highlight w:val="none"/>
              </w:rPr>
              <w:t xml:space="preserve">/LED </w:t>
            </w:r>
            <w:r>
              <w:rPr>
                <w:rFonts w:hint="eastAsia" w:cs="仿宋" w:asciiTheme="minorEastAsia" w:hAnsiTheme="minorEastAsia" w:eastAsiaTheme="minorEastAsia"/>
                <w:color w:val="auto"/>
                <w:sz w:val="24"/>
                <w:szCs w:val="24"/>
                <w:highlight w:val="none"/>
              </w:rPr>
              <w:t>补光灯</w:t>
            </w:r>
            <w:r>
              <w:rPr>
                <w:rFonts w:hint="eastAsia" w:cs="仿宋" w:asciiTheme="minorEastAsia" w:hAnsiTheme="minorEastAsia" w:eastAsiaTheme="minorEastAsia"/>
                <w:color w:val="auto"/>
                <w:sz w:val="24"/>
                <w:szCs w:val="24"/>
                <w:highlight w:val="none"/>
              </w:rPr>
              <w:t>。</w:t>
            </w:r>
          </w:p>
          <w:p w14:paraId="6ADC56F9">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7</w:t>
            </w:r>
            <w:r>
              <w:rPr>
                <w:rFonts w:hint="eastAsia" w:cs="仿宋" w:asciiTheme="minorEastAsia" w:hAnsiTheme="minorEastAsia" w:eastAsiaTheme="minorEastAsia"/>
                <w:color w:val="auto"/>
                <w:sz w:val="24"/>
                <w:szCs w:val="24"/>
                <w:highlight w:val="none"/>
              </w:rPr>
              <w:t>、传输供电：</w:t>
            </w:r>
            <w:r>
              <w:rPr>
                <w:rFonts w:cs="仿宋" w:asciiTheme="minorEastAsia" w:hAnsiTheme="minorEastAsia" w:eastAsiaTheme="minorEastAsia"/>
                <w:color w:val="auto"/>
                <w:sz w:val="24"/>
                <w:szCs w:val="24"/>
                <w:highlight w:val="none"/>
              </w:rPr>
              <w:t>USB 2.0</w:t>
            </w:r>
            <w:r>
              <w:rPr>
                <w:rFonts w:hint="eastAsia" w:cs="仿宋" w:asciiTheme="minorEastAsia" w:hAnsiTheme="minorEastAsia" w:eastAsiaTheme="minorEastAsia"/>
                <w:color w:val="auto"/>
                <w:sz w:val="24"/>
                <w:szCs w:val="24"/>
                <w:highlight w:val="none"/>
              </w:rPr>
              <w:t>接口，兼顾数据的传输和设备供电</w:t>
            </w:r>
            <w:r>
              <w:rPr>
                <w:rFonts w:hint="eastAsia" w:cs="仿宋" w:asciiTheme="minorEastAsia" w:hAnsiTheme="minorEastAsia" w:eastAsiaTheme="minorEastAsia"/>
                <w:color w:val="auto"/>
                <w:sz w:val="24"/>
                <w:szCs w:val="24"/>
                <w:highlight w:val="none"/>
              </w:rPr>
              <w:t>。</w:t>
            </w:r>
          </w:p>
          <w:p w14:paraId="73AA31D5">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 xml:space="preserve">8 </w:t>
            </w:r>
            <w:r>
              <w:rPr>
                <w:rFonts w:hint="eastAsia" w:cs="仿宋" w:asciiTheme="minorEastAsia" w:hAnsiTheme="minorEastAsia" w:eastAsiaTheme="minorEastAsia"/>
                <w:color w:val="auto"/>
                <w:sz w:val="24"/>
                <w:szCs w:val="24"/>
                <w:highlight w:val="none"/>
              </w:rPr>
              <w:t>、支持证件正反面或两张图像合并成一张，可上下或左右合成。</w:t>
            </w:r>
          </w:p>
          <w:p w14:paraId="5C67CA73">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 xml:space="preserve">9 </w:t>
            </w:r>
            <w:r>
              <w:rPr>
                <w:rFonts w:hint="eastAsia" w:cs="仿宋" w:asciiTheme="minorEastAsia" w:hAnsiTheme="minorEastAsia" w:eastAsiaTheme="minorEastAsia"/>
                <w:color w:val="auto"/>
                <w:sz w:val="24"/>
                <w:szCs w:val="24"/>
                <w:highlight w:val="none"/>
              </w:rPr>
              <w:t>、支持时间设定连拍和智能检测拍照，精准高效。</w:t>
            </w:r>
          </w:p>
          <w:p w14:paraId="52807D79">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 xml:space="preserve">10 </w:t>
            </w:r>
            <w:r>
              <w:rPr>
                <w:rFonts w:hint="eastAsia" w:cs="仿宋" w:asciiTheme="minorEastAsia" w:hAnsiTheme="minorEastAsia" w:eastAsiaTheme="minorEastAsia"/>
                <w:color w:val="auto"/>
                <w:sz w:val="24"/>
                <w:szCs w:val="24"/>
                <w:highlight w:val="none"/>
              </w:rPr>
              <w:t>、为了方便对所拍摄的文档进行管理和编辑，软件需支持文档管理功能。</w:t>
            </w:r>
            <w:r>
              <w:rPr>
                <w:rFonts w:cs="仿宋" w:asciiTheme="minorEastAsia" w:hAnsiTheme="minorEastAsia" w:eastAsiaTheme="minorEastAsia"/>
                <w:color w:val="auto"/>
                <w:sz w:val="24"/>
                <w:szCs w:val="24"/>
                <w:highlight w:val="none"/>
              </w:rPr>
              <w:t xml:space="preserve"> </w:t>
            </w:r>
          </w:p>
          <w:p w14:paraId="422588CE">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11</w:t>
            </w:r>
            <w:r>
              <w:rPr>
                <w:rFonts w:hint="eastAsia" w:cs="仿宋" w:asciiTheme="minorEastAsia" w:hAnsiTheme="minorEastAsia" w:eastAsiaTheme="minorEastAsia"/>
                <w:color w:val="auto"/>
                <w:sz w:val="24"/>
                <w:szCs w:val="24"/>
                <w:highlight w:val="none"/>
              </w:rPr>
              <w:t>、可识别条码和二维码，识别结果作为文件的命名，支持保存电子表格。</w:t>
            </w:r>
          </w:p>
          <w:p w14:paraId="38B2FB9A">
            <w:pPr>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12</w:t>
            </w:r>
            <w:r>
              <w:rPr>
                <w:rFonts w:hint="eastAsia" w:cs="仿宋" w:asciiTheme="minorEastAsia" w:hAnsiTheme="minorEastAsia" w:eastAsiaTheme="minorEastAsia"/>
                <w:color w:val="auto"/>
                <w:sz w:val="24"/>
                <w:szCs w:val="24"/>
                <w:highlight w:val="none"/>
              </w:rPr>
              <w:t>、支持页面水印的添加和设置以及拍摄时间等信息。</w:t>
            </w:r>
          </w:p>
        </w:tc>
      </w:tr>
      <w:tr w14:paraId="111CF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744" w:type="dxa"/>
            <w:vAlign w:val="center"/>
          </w:tcPr>
          <w:p w14:paraId="74FA1DB2">
            <w:pPr>
              <w:spacing w:line="360" w:lineRule="auto"/>
              <w:jc w:val="center"/>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1-4</w:t>
            </w:r>
          </w:p>
        </w:tc>
        <w:tc>
          <w:tcPr>
            <w:tcW w:w="1194" w:type="dxa"/>
            <w:vAlign w:val="center"/>
          </w:tcPr>
          <w:p w14:paraId="41811889">
            <w:pPr>
              <w:spacing w:line="360" w:lineRule="auto"/>
              <w:jc w:val="center"/>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一体式</w:t>
            </w:r>
            <w:r>
              <w:rPr>
                <w:rFonts w:cs="仿宋" w:asciiTheme="minorEastAsia" w:hAnsiTheme="minorEastAsia" w:eastAsiaTheme="minorEastAsia"/>
                <w:color w:val="auto"/>
                <w:sz w:val="24"/>
                <w:szCs w:val="24"/>
                <w:highlight w:val="none"/>
              </w:rPr>
              <w:t>A4</w:t>
            </w:r>
            <w:r>
              <w:rPr>
                <w:rFonts w:hint="eastAsia" w:cs="仿宋" w:asciiTheme="minorEastAsia" w:hAnsiTheme="minorEastAsia" w:eastAsiaTheme="minorEastAsia"/>
                <w:color w:val="auto"/>
                <w:sz w:val="24"/>
                <w:szCs w:val="24"/>
                <w:highlight w:val="none"/>
              </w:rPr>
              <w:t>幅面内置身份证读卡器高拍仪</w:t>
            </w:r>
          </w:p>
        </w:tc>
        <w:tc>
          <w:tcPr>
            <w:tcW w:w="8093" w:type="dxa"/>
          </w:tcPr>
          <w:p w14:paraId="5625EF13">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 xml:space="preserve">1 </w:t>
            </w:r>
            <w:r>
              <w:rPr>
                <w:rFonts w:hint="eastAsia" w:cs="仿宋" w:asciiTheme="minorEastAsia" w:hAnsiTheme="minorEastAsia" w:eastAsiaTheme="minorEastAsia"/>
                <w:color w:val="auto"/>
                <w:sz w:val="24"/>
                <w:szCs w:val="24"/>
                <w:highlight w:val="none"/>
              </w:rPr>
              <w:t>、</w:t>
            </w:r>
            <w:r>
              <w:rPr>
                <w:rFonts w:cs="仿宋" w:asciiTheme="minorEastAsia" w:hAnsiTheme="minorEastAsia" w:eastAsiaTheme="minorEastAsia"/>
                <w:color w:val="auto"/>
                <w:sz w:val="24"/>
                <w:szCs w:val="24"/>
                <w:highlight w:val="none"/>
              </w:rPr>
              <w:t>ABS</w:t>
            </w:r>
            <w:r>
              <w:rPr>
                <w:rFonts w:hint="eastAsia" w:cs="仿宋" w:asciiTheme="minorEastAsia" w:hAnsiTheme="minorEastAsia" w:eastAsiaTheme="minorEastAsia"/>
                <w:color w:val="auto"/>
                <w:sz w:val="24"/>
                <w:szCs w:val="24"/>
                <w:highlight w:val="none"/>
              </w:rPr>
              <w:t>（头壳）</w:t>
            </w:r>
            <w:r>
              <w:rPr>
                <w:rFonts w:cs="仿宋" w:asciiTheme="minorEastAsia" w:hAnsiTheme="minorEastAsia" w:eastAsiaTheme="minorEastAsia"/>
                <w:color w:val="auto"/>
                <w:sz w:val="24"/>
                <w:szCs w:val="24"/>
                <w:highlight w:val="none"/>
              </w:rPr>
              <w:t>+</w:t>
            </w:r>
            <w:r>
              <w:rPr>
                <w:rFonts w:hint="eastAsia" w:cs="仿宋" w:asciiTheme="minorEastAsia" w:hAnsiTheme="minorEastAsia" w:eastAsiaTheme="minorEastAsia"/>
                <w:color w:val="auto"/>
                <w:sz w:val="24"/>
                <w:szCs w:val="24"/>
                <w:highlight w:val="none"/>
              </w:rPr>
              <w:t>铝合金（支撑杆）</w:t>
            </w:r>
            <w:r>
              <w:rPr>
                <w:rFonts w:cs="仿宋" w:asciiTheme="minorEastAsia" w:hAnsiTheme="minorEastAsia" w:eastAsiaTheme="minorEastAsia"/>
                <w:color w:val="auto"/>
                <w:sz w:val="24"/>
                <w:szCs w:val="24"/>
                <w:highlight w:val="none"/>
              </w:rPr>
              <w:t>+ABS</w:t>
            </w:r>
            <w:r>
              <w:rPr>
                <w:rFonts w:hint="eastAsia" w:cs="仿宋" w:asciiTheme="minorEastAsia" w:hAnsiTheme="minorEastAsia" w:eastAsiaTheme="minorEastAsia"/>
                <w:color w:val="auto"/>
                <w:sz w:val="24"/>
                <w:szCs w:val="24"/>
                <w:highlight w:val="none"/>
              </w:rPr>
              <w:t>（底座）</w:t>
            </w:r>
            <w:r>
              <w:rPr>
                <w:rFonts w:hint="eastAsia" w:cs="仿宋" w:asciiTheme="minorEastAsia" w:hAnsiTheme="minorEastAsia" w:eastAsiaTheme="minorEastAsia"/>
                <w:color w:val="auto"/>
                <w:sz w:val="24"/>
                <w:szCs w:val="24"/>
                <w:highlight w:val="none"/>
              </w:rPr>
              <w:t>。</w:t>
            </w:r>
          </w:p>
          <w:p w14:paraId="2FD9BE9F">
            <w:pPr>
              <w:tabs>
                <w:tab w:val="left" w:pos="1533"/>
              </w:tabs>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 xml:space="preserve">*2 </w:t>
            </w:r>
            <w:r>
              <w:rPr>
                <w:rFonts w:hint="eastAsia" w:cs="仿宋" w:asciiTheme="minorEastAsia" w:hAnsiTheme="minorEastAsia" w:eastAsiaTheme="minorEastAsia"/>
                <w:b/>
                <w:color w:val="auto"/>
                <w:sz w:val="24"/>
                <w:szCs w:val="24"/>
                <w:highlight w:val="none"/>
              </w:rPr>
              <w:t>、机身和文稿台采用一插到位的设计方式，简便拆装工序，精准定位、稳固大方</w:t>
            </w:r>
            <w:r>
              <w:rPr>
                <w:rFonts w:cs="仿宋" w:asciiTheme="minorEastAsia" w:hAnsiTheme="minorEastAsia" w:eastAsiaTheme="minorEastAsia"/>
                <w:b/>
                <w:color w:val="auto"/>
                <w:sz w:val="24"/>
                <w:szCs w:val="24"/>
                <w:highlight w:val="none"/>
              </w:rPr>
              <w:t>.</w:t>
            </w:r>
            <w:r>
              <w:rPr>
                <w:rFonts w:hint="eastAsia" w:cs="仿宋" w:asciiTheme="minorEastAsia" w:hAnsiTheme="minorEastAsia" w:eastAsiaTheme="minorEastAsia"/>
                <w:b/>
                <w:color w:val="auto"/>
                <w:sz w:val="24"/>
                <w:szCs w:val="24"/>
                <w:highlight w:val="none"/>
              </w:rPr>
              <w:t>具备</w:t>
            </w:r>
            <w:r>
              <w:rPr>
                <w:rFonts w:cs="仿宋" w:asciiTheme="minorEastAsia" w:hAnsiTheme="minorEastAsia" w:eastAsiaTheme="minorEastAsia"/>
                <w:b/>
                <w:color w:val="auto"/>
                <w:sz w:val="24"/>
                <w:szCs w:val="24"/>
                <w:highlight w:val="none"/>
              </w:rPr>
              <w:t>OCR</w:t>
            </w:r>
            <w:r>
              <w:rPr>
                <w:rFonts w:hint="eastAsia" w:cs="仿宋" w:asciiTheme="minorEastAsia" w:hAnsiTheme="minorEastAsia" w:eastAsiaTheme="minorEastAsia"/>
                <w:b/>
                <w:color w:val="auto"/>
                <w:sz w:val="24"/>
                <w:szCs w:val="24"/>
                <w:highlight w:val="none"/>
              </w:rPr>
              <w:t>文字识别；可免费提供二次开发包</w:t>
            </w:r>
            <w:r>
              <w:rPr>
                <w:rFonts w:hint="eastAsia" w:cs="仿宋" w:asciiTheme="minorEastAsia" w:hAnsiTheme="minorEastAsia" w:eastAsiaTheme="minorEastAsia"/>
                <w:b/>
                <w:color w:val="auto"/>
                <w:sz w:val="24"/>
                <w:szCs w:val="24"/>
                <w:highlight w:val="none"/>
              </w:rPr>
              <w:t>。</w:t>
            </w:r>
          </w:p>
          <w:p w14:paraId="184CB889">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3</w:t>
            </w:r>
            <w:r>
              <w:rPr>
                <w:rFonts w:hint="eastAsia" w:cs="仿宋" w:asciiTheme="minorEastAsia" w:hAnsiTheme="minorEastAsia" w:eastAsiaTheme="minorEastAsia"/>
                <w:color w:val="auto"/>
                <w:sz w:val="24"/>
                <w:szCs w:val="24"/>
                <w:highlight w:val="none"/>
              </w:rPr>
              <w:t>、</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rPr>
              <w:t>对焦方式：自动对焦或者定焦</w:t>
            </w:r>
            <w:r>
              <w:rPr>
                <w:rFonts w:hint="eastAsia" w:cs="仿宋" w:asciiTheme="minorEastAsia" w:hAnsiTheme="minorEastAsia" w:eastAsiaTheme="minorEastAsia"/>
                <w:color w:val="auto"/>
                <w:sz w:val="24"/>
                <w:szCs w:val="24"/>
                <w:highlight w:val="none"/>
              </w:rPr>
              <w:t>。</w:t>
            </w:r>
          </w:p>
          <w:p w14:paraId="3A8C74EA">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4</w:t>
            </w:r>
            <w:r>
              <w:rPr>
                <w:rFonts w:hint="eastAsia" w:cs="仿宋" w:asciiTheme="minorEastAsia" w:hAnsiTheme="minorEastAsia" w:eastAsiaTheme="minorEastAsia"/>
                <w:color w:val="auto"/>
                <w:sz w:val="24"/>
                <w:szCs w:val="24"/>
                <w:highlight w:val="none"/>
              </w:rPr>
              <w:t>、扫描尺寸：</w:t>
            </w:r>
            <w:r>
              <w:rPr>
                <w:rFonts w:cs="仿宋" w:asciiTheme="minorEastAsia" w:hAnsiTheme="minorEastAsia" w:eastAsiaTheme="minorEastAsia"/>
                <w:color w:val="auto"/>
                <w:sz w:val="24"/>
                <w:szCs w:val="24"/>
                <w:highlight w:val="none"/>
              </w:rPr>
              <w:t>A4</w:t>
            </w:r>
            <w:r>
              <w:rPr>
                <w:rFonts w:hint="eastAsia" w:cs="仿宋" w:asciiTheme="minorEastAsia" w:hAnsiTheme="minorEastAsia" w:eastAsiaTheme="minorEastAsia"/>
                <w:color w:val="auto"/>
                <w:sz w:val="24"/>
                <w:szCs w:val="24"/>
                <w:highlight w:val="none"/>
              </w:rPr>
              <w:t>、</w:t>
            </w:r>
            <w:r>
              <w:rPr>
                <w:rFonts w:cs="仿宋" w:asciiTheme="minorEastAsia" w:hAnsiTheme="minorEastAsia" w:eastAsiaTheme="minorEastAsia"/>
                <w:color w:val="auto"/>
                <w:sz w:val="24"/>
                <w:szCs w:val="24"/>
                <w:highlight w:val="none"/>
              </w:rPr>
              <w:t>A5</w:t>
            </w:r>
            <w:r>
              <w:rPr>
                <w:rFonts w:hint="eastAsia" w:cs="仿宋" w:asciiTheme="minorEastAsia" w:hAnsiTheme="minorEastAsia" w:eastAsiaTheme="minorEastAsia"/>
                <w:color w:val="auto"/>
                <w:sz w:val="24"/>
                <w:szCs w:val="24"/>
                <w:highlight w:val="none"/>
              </w:rPr>
              <w:t>、</w:t>
            </w:r>
            <w:r>
              <w:rPr>
                <w:rFonts w:cs="仿宋" w:asciiTheme="minorEastAsia" w:hAnsiTheme="minorEastAsia" w:eastAsiaTheme="minorEastAsia"/>
                <w:color w:val="auto"/>
                <w:sz w:val="24"/>
                <w:szCs w:val="24"/>
                <w:highlight w:val="none"/>
              </w:rPr>
              <w:t>A6</w:t>
            </w:r>
            <w:r>
              <w:rPr>
                <w:rFonts w:hint="eastAsia" w:cs="仿宋" w:asciiTheme="minorEastAsia" w:hAnsiTheme="minorEastAsia" w:eastAsiaTheme="minorEastAsia"/>
                <w:color w:val="auto"/>
                <w:sz w:val="24"/>
                <w:szCs w:val="24"/>
                <w:highlight w:val="none"/>
              </w:rPr>
              <w:t>、名片以及证件等</w:t>
            </w:r>
            <w:r>
              <w:rPr>
                <w:rFonts w:hint="eastAsia" w:cs="仿宋" w:asciiTheme="minorEastAsia" w:hAnsiTheme="minorEastAsia" w:eastAsiaTheme="minorEastAsia"/>
                <w:color w:val="auto"/>
                <w:sz w:val="24"/>
                <w:szCs w:val="24"/>
                <w:highlight w:val="none"/>
              </w:rPr>
              <w:t>。</w:t>
            </w:r>
          </w:p>
          <w:p w14:paraId="01BCFBFE">
            <w:pPr>
              <w:tabs>
                <w:tab w:val="left" w:pos="1533"/>
              </w:tabs>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支持文档、单据、图片、照片、立体实物、银行卡以及各种类别身份证件等。</w:t>
            </w:r>
          </w:p>
          <w:p w14:paraId="1DC0D6D3">
            <w:pPr>
              <w:tabs>
                <w:tab w:val="left" w:pos="1533"/>
              </w:tabs>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*5</w:t>
            </w:r>
            <w:r>
              <w:rPr>
                <w:rFonts w:hint="eastAsia" w:cs="仿宋" w:asciiTheme="minorEastAsia" w:hAnsiTheme="minorEastAsia" w:eastAsiaTheme="minorEastAsia"/>
                <w:b/>
                <w:color w:val="auto"/>
                <w:sz w:val="24"/>
                <w:szCs w:val="24"/>
                <w:highlight w:val="none"/>
              </w:rPr>
              <w:t>、主摄像头：像素≥</w:t>
            </w:r>
            <w:r>
              <w:rPr>
                <w:rFonts w:cs="仿宋" w:asciiTheme="minorEastAsia" w:hAnsiTheme="minorEastAsia" w:eastAsiaTheme="minorEastAsia"/>
                <w:b/>
                <w:color w:val="auto"/>
                <w:sz w:val="24"/>
                <w:szCs w:val="24"/>
                <w:highlight w:val="none"/>
              </w:rPr>
              <w:t>1200</w:t>
            </w:r>
            <w:r>
              <w:rPr>
                <w:rFonts w:hint="eastAsia" w:cs="仿宋" w:asciiTheme="minorEastAsia" w:hAnsiTheme="minorEastAsia" w:eastAsiaTheme="minorEastAsia"/>
                <w:b/>
                <w:color w:val="auto"/>
                <w:sz w:val="24"/>
                <w:szCs w:val="24"/>
                <w:highlight w:val="none"/>
              </w:rPr>
              <w:t>万像素，物理分辨率≥</w:t>
            </w:r>
            <w:r>
              <w:rPr>
                <w:rFonts w:cs="仿宋" w:asciiTheme="minorEastAsia" w:hAnsiTheme="minorEastAsia" w:eastAsiaTheme="minorEastAsia"/>
                <w:b/>
                <w:color w:val="auto"/>
                <w:sz w:val="24"/>
                <w:szCs w:val="24"/>
                <w:highlight w:val="none"/>
              </w:rPr>
              <w:t>3600*2700</w:t>
            </w:r>
            <w:r>
              <w:rPr>
                <w:rFonts w:hint="eastAsia" w:cs="仿宋" w:asciiTheme="minorEastAsia" w:hAnsiTheme="minorEastAsia" w:eastAsiaTheme="minorEastAsia"/>
                <w:b/>
                <w:color w:val="auto"/>
                <w:sz w:val="24"/>
                <w:szCs w:val="24"/>
                <w:highlight w:val="none"/>
              </w:rPr>
              <w:t>）；辅摄像头：像素≥</w:t>
            </w:r>
            <w:r>
              <w:rPr>
                <w:rFonts w:cs="仿宋" w:asciiTheme="minorEastAsia" w:hAnsiTheme="minorEastAsia" w:eastAsiaTheme="minorEastAsia"/>
                <w:b/>
                <w:color w:val="auto"/>
                <w:sz w:val="24"/>
                <w:szCs w:val="24"/>
                <w:highlight w:val="none"/>
              </w:rPr>
              <w:t>200</w:t>
            </w:r>
            <w:r>
              <w:rPr>
                <w:rFonts w:hint="eastAsia" w:cs="仿宋" w:asciiTheme="minorEastAsia" w:hAnsiTheme="minorEastAsia" w:eastAsiaTheme="minorEastAsia"/>
                <w:b/>
                <w:color w:val="auto"/>
                <w:sz w:val="24"/>
                <w:szCs w:val="24"/>
                <w:highlight w:val="none"/>
              </w:rPr>
              <w:t>万（分辨率≥</w:t>
            </w:r>
            <w:r>
              <w:rPr>
                <w:rFonts w:cs="仿宋" w:asciiTheme="minorEastAsia" w:hAnsiTheme="minorEastAsia" w:eastAsiaTheme="minorEastAsia"/>
                <w:b/>
                <w:color w:val="auto"/>
                <w:sz w:val="24"/>
                <w:szCs w:val="24"/>
                <w:highlight w:val="none"/>
              </w:rPr>
              <w:t>1600*1200</w:t>
            </w:r>
            <w:r>
              <w:rPr>
                <w:rFonts w:hint="eastAsia" w:cs="仿宋" w:asciiTheme="minorEastAsia" w:hAnsiTheme="minorEastAsia" w:eastAsiaTheme="minorEastAsia"/>
                <w:b/>
                <w:color w:val="auto"/>
                <w:sz w:val="24"/>
                <w:szCs w:val="24"/>
                <w:highlight w:val="none"/>
              </w:rPr>
              <w:t>）</w:t>
            </w:r>
            <w:r>
              <w:rPr>
                <w:rFonts w:hint="eastAsia" w:cs="仿宋" w:asciiTheme="minorEastAsia" w:hAnsiTheme="minorEastAsia" w:eastAsiaTheme="minorEastAsia"/>
                <w:b/>
                <w:color w:val="auto"/>
                <w:sz w:val="24"/>
                <w:szCs w:val="24"/>
                <w:highlight w:val="none"/>
              </w:rPr>
              <w:t>。</w:t>
            </w:r>
          </w:p>
          <w:p w14:paraId="4549C3B2">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6</w:t>
            </w:r>
            <w:r>
              <w:rPr>
                <w:rFonts w:hint="eastAsia" w:cs="仿宋" w:asciiTheme="minorEastAsia" w:hAnsiTheme="minorEastAsia" w:eastAsiaTheme="minorEastAsia"/>
                <w:color w:val="auto"/>
                <w:sz w:val="24"/>
                <w:szCs w:val="24"/>
                <w:highlight w:val="none"/>
              </w:rPr>
              <w:t>、光源：自然光</w:t>
            </w:r>
            <w:r>
              <w:rPr>
                <w:rFonts w:cs="仿宋" w:asciiTheme="minorEastAsia" w:hAnsiTheme="minorEastAsia" w:eastAsiaTheme="minorEastAsia"/>
                <w:color w:val="auto"/>
                <w:sz w:val="24"/>
                <w:szCs w:val="24"/>
                <w:highlight w:val="none"/>
              </w:rPr>
              <w:t xml:space="preserve">/LED </w:t>
            </w:r>
            <w:r>
              <w:rPr>
                <w:rFonts w:hint="eastAsia" w:cs="仿宋" w:asciiTheme="minorEastAsia" w:hAnsiTheme="minorEastAsia" w:eastAsiaTheme="minorEastAsia"/>
                <w:color w:val="auto"/>
                <w:sz w:val="24"/>
                <w:szCs w:val="24"/>
                <w:highlight w:val="none"/>
              </w:rPr>
              <w:t>补光灯</w:t>
            </w:r>
            <w:r>
              <w:rPr>
                <w:rFonts w:hint="eastAsia" w:cs="仿宋" w:asciiTheme="minorEastAsia" w:hAnsiTheme="minorEastAsia" w:eastAsiaTheme="minorEastAsia"/>
                <w:color w:val="auto"/>
                <w:sz w:val="24"/>
                <w:szCs w:val="24"/>
                <w:highlight w:val="none"/>
              </w:rPr>
              <w:t>。</w:t>
            </w:r>
          </w:p>
          <w:p w14:paraId="095E0CE1">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7</w:t>
            </w:r>
            <w:r>
              <w:rPr>
                <w:rFonts w:hint="eastAsia" w:cs="仿宋" w:asciiTheme="minorEastAsia" w:hAnsiTheme="minorEastAsia" w:eastAsiaTheme="minorEastAsia"/>
                <w:color w:val="auto"/>
                <w:sz w:val="24"/>
                <w:szCs w:val="24"/>
                <w:highlight w:val="none"/>
              </w:rPr>
              <w:t>、传输供电：</w:t>
            </w:r>
            <w:r>
              <w:rPr>
                <w:rFonts w:cs="仿宋" w:asciiTheme="minorEastAsia" w:hAnsiTheme="minorEastAsia" w:eastAsiaTheme="minorEastAsia"/>
                <w:color w:val="auto"/>
                <w:sz w:val="24"/>
                <w:szCs w:val="24"/>
                <w:highlight w:val="none"/>
              </w:rPr>
              <w:t>USB 2.0</w:t>
            </w:r>
            <w:r>
              <w:rPr>
                <w:rFonts w:hint="eastAsia" w:cs="仿宋" w:asciiTheme="minorEastAsia" w:hAnsiTheme="minorEastAsia" w:eastAsiaTheme="minorEastAsia"/>
                <w:color w:val="auto"/>
                <w:sz w:val="24"/>
                <w:szCs w:val="24"/>
                <w:highlight w:val="none"/>
              </w:rPr>
              <w:t>接口，兼顾数据的传输和设备供电</w:t>
            </w:r>
            <w:r>
              <w:rPr>
                <w:rFonts w:hint="eastAsia" w:cs="仿宋" w:asciiTheme="minorEastAsia" w:hAnsiTheme="minorEastAsia" w:eastAsiaTheme="minorEastAsia"/>
                <w:color w:val="auto"/>
                <w:sz w:val="24"/>
                <w:szCs w:val="24"/>
                <w:highlight w:val="none"/>
              </w:rPr>
              <w:t>。</w:t>
            </w:r>
          </w:p>
          <w:p w14:paraId="21D1E015">
            <w:pPr>
              <w:tabs>
                <w:tab w:val="left" w:pos="1533"/>
              </w:tabs>
              <w:spacing w:line="360" w:lineRule="auto"/>
              <w:rPr>
                <w:rFonts w:cs="仿宋" w:asciiTheme="minorEastAsia" w:hAnsiTheme="minorEastAsia" w:eastAsiaTheme="minorEastAsia"/>
                <w:b/>
                <w:color w:val="auto"/>
                <w:sz w:val="24"/>
                <w:szCs w:val="24"/>
                <w:highlight w:val="none"/>
              </w:rPr>
            </w:pPr>
            <w:r>
              <w:rPr>
                <w:rFonts w:cs="仿宋" w:asciiTheme="minorEastAsia" w:hAnsiTheme="minorEastAsia" w:eastAsiaTheme="minorEastAsia"/>
                <w:b/>
                <w:color w:val="auto"/>
                <w:sz w:val="24"/>
                <w:szCs w:val="24"/>
                <w:highlight w:val="none"/>
              </w:rPr>
              <w:t>*8</w:t>
            </w:r>
            <w:r>
              <w:rPr>
                <w:rFonts w:hint="eastAsia" w:cs="仿宋" w:asciiTheme="minorEastAsia" w:hAnsiTheme="minorEastAsia" w:eastAsiaTheme="minorEastAsia"/>
                <w:b/>
                <w:color w:val="auto"/>
                <w:sz w:val="24"/>
                <w:szCs w:val="24"/>
                <w:highlight w:val="none"/>
              </w:rPr>
              <w:t>、内置二代身份证阅读器。</w:t>
            </w:r>
          </w:p>
          <w:p w14:paraId="622D0DEB">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9</w:t>
            </w:r>
            <w:r>
              <w:rPr>
                <w:rFonts w:hint="eastAsia" w:cs="仿宋" w:asciiTheme="minorEastAsia" w:hAnsiTheme="minorEastAsia" w:eastAsiaTheme="minorEastAsia"/>
                <w:color w:val="auto"/>
                <w:sz w:val="24"/>
                <w:szCs w:val="24"/>
                <w:highlight w:val="none"/>
              </w:rPr>
              <w:t>、支持证件正反面或两张图像合并成一张，可上下或左右合成。</w:t>
            </w:r>
          </w:p>
          <w:p w14:paraId="41C5B28A">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 xml:space="preserve">10 </w:t>
            </w:r>
            <w:r>
              <w:rPr>
                <w:rFonts w:hint="eastAsia" w:cs="仿宋" w:asciiTheme="minorEastAsia" w:hAnsiTheme="minorEastAsia" w:eastAsiaTheme="minorEastAsia"/>
                <w:color w:val="auto"/>
                <w:sz w:val="24"/>
                <w:szCs w:val="24"/>
                <w:highlight w:val="none"/>
              </w:rPr>
              <w:t>、支持时间设定连拍和智能检测拍照，精准高效。</w:t>
            </w:r>
          </w:p>
          <w:p w14:paraId="7955F3AD">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 xml:space="preserve">11 </w:t>
            </w:r>
            <w:r>
              <w:rPr>
                <w:rFonts w:hint="eastAsia" w:cs="仿宋" w:asciiTheme="minorEastAsia" w:hAnsiTheme="minorEastAsia" w:eastAsiaTheme="minorEastAsia"/>
                <w:color w:val="auto"/>
                <w:sz w:val="24"/>
                <w:szCs w:val="24"/>
                <w:highlight w:val="none"/>
              </w:rPr>
              <w:t>、为了方便对所拍摄的文档进行管理和编辑，软件需支持文档管理功能。</w:t>
            </w:r>
            <w:r>
              <w:rPr>
                <w:rFonts w:cs="仿宋" w:asciiTheme="minorEastAsia" w:hAnsiTheme="minorEastAsia" w:eastAsiaTheme="minorEastAsia"/>
                <w:color w:val="auto"/>
                <w:sz w:val="24"/>
                <w:szCs w:val="24"/>
                <w:highlight w:val="none"/>
              </w:rPr>
              <w:t xml:space="preserve"> </w:t>
            </w:r>
          </w:p>
          <w:p w14:paraId="5BFBDBC1">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12</w:t>
            </w:r>
            <w:r>
              <w:rPr>
                <w:rFonts w:hint="eastAsia" w:cs="仿宋" w:asciiTheme="minorEastAsia" w:hAnsiTheme="minorEastAsia" w:eastAsiaTheme="minorEastAsia"/>
                <w:color w:val="auto"/>
                <w:sz w:val="24"/>
                <w:szCs w:val="24"/>
                <w:highlight w:val="none"/>
              </w:rPr>
              <w:t>、可识别条码和二维码，识别结果作为文件的命名，支持保存电子表格。</w:t>
            </w:r>
          </w:p>
          <w:p w14:paraId="21894D2E">
            <w:pPr>
              <w:tabs>
                <w:tab w:val="left" w:pos="1533"/>
              </w:tabs>
              <w:spacing w:line="360" w:lineRule="auto"/>
              <w:rPr>
                <w:rFonts w:cs="仿宋" w:asciiTheme="minorEastAsia" w:hAnsiTheme="minorEastAsia" w:eastAsiaTheme="minorEastAsia"/>
                <w:color w:val="auto"/>
                <w:sz w:val="24"/>
                <w:szCs w:val="24"/>
                <w:highlight w:val="none"/>
              </w:rPr>
            </w:pPr>
            <w:r>
              <w:rPr>
                <w:rFonts w:cs="仿宋" w:asciiTheme="minorEastAsia" w:hAnsiTheme="minorEastAsia" w:eastAsiaTheme="minorEastAsia"/>
                <w:color w:val="auto"/>
                <w:sz w:val="24"/>
                <w:szCs w:val="24"/>
                <w:highlight w:val="none"/>
              </w:rPr>
              <w:t>13</w:t>
            </w:r>
            <w:r>
              <w:rPr>
                <w:rFonts w:hint="eastAsia" w:cs="仿宋" w:asciiTheme="minorEastAsia" w:hAnsiTheme="minorEastAsia" w:eastAsiaTheme="minorEastAsia"/>
                <w:color w:val="auto"/>
                <w:sz w:val="24"/>
                <w:szCs w:val="24"/>
                <w:highlight w:val="none"/>
              </w:rPr>
              <w:t>、支持页面水印的添加和设置以及拍摄时间等信息</w:t>
            </w:r>
          </w:p>
        </w:tc>
      </w:tr>
    </w:tbl>
    <w:p w14:paraId="361B647B">
      <w:pPr>
        <w:pStyle w:val="2"/>
        <w:spacing w:line="360" w:lineRule="auto"/>
        <w:ind w:firstLine="480" w:firstLineChars="200"/>
        <w:rPr>
          <w:rFonts w:ascii="宋体" w:hAnsi="宋体" w:cs="宋体"/>
          <w:color w:val="auto"/>
          <w:sz w:val="24"/>
          <w:highlight w:val="none"/>
        </w:rPr>
      </w:pPr>
    </w:p>
    <w:p w14:paraId="74F74AC7">
      <w:pPr>
        <w:spacing w:line="360" w:lineRule="auto"/>
        <w:rPr>
          <w:rFonts w:ascii="宋体" w:hAnsi="宋体"/>
          <w:b/>
          <w:color w:val="auto"/>
          <w:sz w:val="28"/>
          <w:szCs w:val="28"/>
          <w:highlight w:val="none"/>
        </w:rPr>
      </w:pPr>
      <w:r>
        <w:rPr>
          <w:rFonts w:hint="eastAsia" w:ascii="宋体" w:hAnsi="宋体"/>
          <w:b/>
          <w:color w:val="auto"/>
          <w:sz w:val="28"/>
          <w:szCs w:val="28"/>
          <w:highlight w:val="none"/>
        </w:rPr>
        <w:t>备注：</w:t>
      </w:r>
    </w:p>
    <w:p w14:paraId="1C6C4F51">
      <w:pPr>
        <w:spacing w:line="360" w:lineRule="auto"/>
        <w:ind w:firstLine="551" w:firstLineChars="196"/>
        <w:rPr>
          <w:rFonts w:ascii="宋体" w:hAnsi="宋体"/>
          <w:b/>
          <w:color w:val="auto"/>
          <w:sz w:val="28"/>
          <w:szCs w:val="28"/>
          <w:highlight w:val="none"/>
        </w:rPr>
      </w:pPr>
      <w:r>
        <w:rPr>
          <w:rFonts w:ascii="宋体" w:hAnsi="宋体"/>
          <w:b/>
          <w:color w:val="auto"/>
          <w:sz w:val="28"/>
          <w:szCs w:val="28"/>
          <w:highlight w:val="none"/>
        </w:rPr>
        <w:t>*1</w:t>
      </w:r>
      <w:r>
        <w:rPr>
          <w:rFonts w:hint="eastAsia" w:ascii="宋体" w:hAnsi="宋体"/>
          <w:b/>
          <w:color w:val="auto"/>
          <w:sz w:val="28"/>
          <w:szCs w:val="28"/>
          <w:highlight w:val="none"/>
        </w:rPr>
        <w:t>、投标人须在投标文件中作出明确承诺：采购单位可调整各规格产品的实际供货数量；采购单位有权向厦门市政府机关事业单位和福建省内其他终端用户（下统称最终用户）进行供货。投标人须提供相应的安装及售后服务保障，所需费用已包含在投标总价中。投标人承诺合同期内采购单位可增加或者减少各型号的采购数量，仍按不高于中标价格执行。</w:t>
      </w:r>
    </w:p>
    <w:p w14:paraId="28C54886">
      <w:pPr>
        <w:spacing w:line="360" w:lineRule="auto"/>
        <w:ind w:firstLine="551" w:firstLineChars="196"/>
        <w:rPr>
          <w:rFonts w:ascii="宋体" w:hAnsi="宋体"/>
          <w:b/>
          <w:color w:val="auto"/>
          <w:sz w:val="28"/>
          <w:szCs w:val="28"/>
          <w:highlight w:val="none"/>
        </w:rPr>
      </w:pPr>
      <w:r>
        <w:rPr>
          <w:rFonts w:ascii="宋体" w:hAnsi="宋体"/>
          <w:b/>
          <w:color w:val="auto"/>
          <w:sz w:val="28"/>
          <w:szCs w:val="28"/>
          <w:highlight w:val="none"/>
        </w:rPr>
        <w:t>*2</w:t>
      </w:r>
      <w:r>
        <w:rPr>
          <w:rFonts w:hint="eastAsia" w:ascii="宋体" w:hAnsi="宋体"/>
          <w:b/>
          <w:color w:val="auto"/>
          <w:sz w:val="28"/>
          <w:szCs w:val="28"/>
          <w:highlight w:val="none"/>
        </w:rPr>
        <w:t>、本项目采购的设备按照销售对象及销售区域的不同而分别与采购单位签订合同，即签订一份适用于厦门市机关事业单位社会团体、一份适用于福建省内其他终端用户采购合同。两份合同的总数量和总金额为本次招标采购的总数量和总金额。</w:t>
      </w:r>
    </w:p>
    <w:p w14:paraId="6298413B">
      <w:pPr>
        <w:tabs>
          <w:tab w:val="left" w:pos="5130"/>
        </w:tabs>
        <w:spacing w:line="360" w:lineRule="auto"/>
        <w:ind w:firstLine="562" w:firstLineChars="200"/>
        <w:rPr>
          <w:rFonts w:ascii="宋体" w:hAnsi="宋体"/>
          <w:b/>
          <w:color w:val="auto"/>
          <w:sz w:val="28"/>
          <w:szCs w:val="28"/>
          <w:highlight w:val="none"/>
        </w:rPr>
      </w:pPr>
      <w:r>
        <w:rPr>
          <w:rFonts w:ascii="宋体" w:hAnsi="宋体"/>
          <w:b/>
          <w:color w:val="auto"/>
          <w:sz w:val="28"/>
          <w:szCs w:val="28"/>
          <w:highlight w:val="none"/>
        </w:rPr>
        <w:t>*3</w:t>
      </w:r>
      <w:r>
        <w:rPr>
          <w:rFonts w:hint="eastAsia" w:ascii="宋体" w:hAnsi="宋体"/>
          <w:b/>
          <w:color w:val="auto"/>
          <w:sz w:val="28"/>
          <w:szCs w:val="28"/>
          <w:highlight w:val="none"/>
        </w:rPr>
        <w:t>、采购周期：</w:t>
      </w:r>
      <w:r>
        <w:rPr>
          <w:rFonts w:hint="default" w:ascii="宋体" w:hAnsi="宋体"/>
          <w:b/>
          <w:color w:val="auto"/>
          <w:sz w:val="28"/>
          <w:szCs w:val="28"/>
          <w:highlight w:val="none"/>
        </w:rPr>
        <w:t>2</w:t>
      </w:r>
      <w:r>
        <w:rPr>
          <w:rFonts w:hint="eastAsia" w:ascii="宋体" w:hAnsi="宋体"/>
          <w:b/>
          <w:color w:val="auto"/>
          <w:sz w:val="28"/>
          <w:szCs w:val="28"/>
          <w:highlight w:val="none"/>
        </w:rPr>
        <w:t>年。</w:t>
      </w:r>
    </w:p>
    <w:p w14:paraId="69EB56F3">
      <w:pPr>
        <w:tabs>
          <w:tab w:val="left" w:pos="5130"/>
        </w:tabs>
        <w:spacing w:line="360" w:lineRule="auto"/>
        <w:ind w:firstLine="562" w:firstLineChars="200"/>
        <w:rPr>
          <w:rFonts w:ascii="宋体" w:hAnsi="宋体"/>
          <w:b/>
          <w:color w:val="auto"/>
          <w:sz w:val="28"/>
          <w:szCs w:val="28"/>
          <w:highlight w:val="none"/>
        </w:rPr>
      </w:pPr>
      <w:r>
        <w:rPr>
          <w:rFonts w:ascii="宋体" w:hAnsi="宋体"/>
          <w:b/>
          <w:color w:val="auto"/>
          <w:sz w:val="28"/>
          <w:szCs w:val="28"/>
          <w:highlight w:val="none"/>
        </w:rPr>
        <w:t>*4</w:t>
      </w:r>
      <w:r>
        <w:rPr>
          <w:rFonts w:hint="eastAsia" w:ascii="宋体" w:hAnsi="宋体"/>
          <w:b/>
          <w:color w:val="auto"/>
          <w:sz w:val="28"/>
          <w:szCs w:val="28"/>
          <w:highlight w:val="none"/>
        </w:rPr>
        <w:t>、投标人投标的品目号</w:t>
      </w:r>
      <w:r>
        <w:rPr>
          <w:rFonts w:ascii="宋体" w:hAnsi="宋体"/>
          <w:b/>
          <w:color w:val="auto"/>
          <w:sz w:val="28"/>
          <w:szCs w:val="28"/>
          <w:highlight w:val="none"/>
        </w:rPr>
        <w:t>1-1</w:t>
      </w:r>
      <w:r>
        <w:rPr>
          <w:rFonts w:hint="eastAsia" w:ascii="宋体" w:hAnsi="宋体"/>
          <w:b/>
          <w:color w:val="auto"/>
          <w:sz w:val="28"/>
          <w:szCs w:val="28"/>
          <w:highlight w:val="none"/>
        </w:rPr>
        <w:t>为同一品牌，品目号</w:t>
      </w:r>
      <w:r>
        <w:rPr>
          <w:rFonts w:ascii="宋体" w:hAnsi="宋体"/>
          <w:b/>
          <w:color w:val="auto"/>
          <w:sz w:val="28"/>
          <w:szCs w:val="28"/>
          <w:highlight w:val="none"/>
        </w:rPr>
        <w:t>1-2</w:t>
      </w:r>
      <w:r>
        <w:rPr>
          <w:rFonts w:hint="eastAsia" w:ascii="宋体" w:hAnsi="宋体"/>
          <w:b/>
          <w:color w:val="auto"/>
          <w:sz w:val="28"/>
          <w:szCs w:val="28"/>
          <w:highlight w:val="none"/>
        </w:rPr>
        <w:t>至</w:t>
      </w:r>
      <w:r>
        <w:rPr>
          <w:rFonts w:ascii="宋体" w:hAnsi="宋体"/>
          <w:b/>
          <w:color w:val="auto"/>
          <w:sz w:val="28"/>
          <w:szCs w:val="28"/>
          <w:highlight w:val="none"/>
        </w:rPr>
        <w:t>1-4</w:t>
      </w:r>
      <w:r>
        <w:rPr>
          <w:rFonts w:hint="eastAsia" w:ascii="宋体" w:hAnsi="宋体"/>
          <w:b/>
          <w:color w:val="auto"/>
          <w:sz w:val="28"/>
          <w:szCs w:val="28"/>
          <w:highlight w:val="none"/>
        </w:rPr>
        <w:t>高拍仪产品必须为同一品牌产品，否则将导致投标无效。</w:t>
      </w:r>
    </w:p>
    <w:p w14:paraId="1512B651">
      <w:pPr>
        <w:tabs>
          <w:tab w:val="left" w:pos="5130"/>
        </w:tabs>
        <w:spacing w:line="360" w:lineRule="auto"/>
        <w:ind w:firstLine="562" w:firstLineChars="200"/>
        <w:rPr>
          <w:rFonts w:ascii="宋体" w:hAnsi="宋体"/>
          <w:b/>
          <w:color w:val="auto"/>
          <w:sz w:val="28"/>
          <w:szCs w:val="28"/>
          <w:highlight w:val="none"/>
        </w:rPr>
      </w:pPr>
      <w:r>
        <w:rPr>
          <w:rFonts w:hint="eastAsia" w:ascii="宋体" w:hAnsi="宋体"/>
          <w:b/>
          <w:color w:val="auto"/>
          <w:sz w:val="28"/>
          <w:szCs w:val="28"/>
          <w:highlight w:val="none"/>
        </w:rPr>
        <w:t>*5、</w:t>
      </w:r>
      <w:r>
        <w:rPr>
          <w:rFonts w:hint="eastAsia" w:ascii="宋体" w:hAnsi="宋体" w:eastAsia="宋体" w:cs="Times New Roman"/>
          <w:b/>
          <w:color w:val="auto"/>
          <w:sz w:val="28"/>
          <w:szCs w:val="28"/>
          <w:highlight w:val="none"/>
        </w:rPr>
        <w:t>投标人</w:t>
      </w:r>
      <w:r>
        <w:rPr>
          <w:rFonts w:hint="eastAsia" w:ascii="宋体" w:hAnsi="宋体"/>
          <w:b/>
          <w:color w:val="auto"/>
          <w:sz w:val="28"/>
          <w:szCs w:val="28"/>
          <w:highlight w:val="none"/>
        </w:rPr>
        <w:t>所投</w:t>
      </w:r>
      <w:r>
        <w:rPr>
          <w:rFonts w:hint="eastAsia" w:ascii="宋体" w:hAnsi="宋体" w:eastAsia="宋体" w:cs="Times New Roman"/>
          <w:b/>
          <w:color w:val="auto"/>
          <w:sz w:val="28"/>
          <w:szCs w:val="28"/>
          <w:highlight w:val="none"/>
        </w:rPr>
        <w:t>的高拍仪（品目号</w:t>
      </w:r>
      <w:r>
        <w:rPr>
          <w:rFonts w:ascii="宋体" w:hAnsi="宋体" w:eastAsia="宋体" w:cs="Times New Roman"/>
          <w:b/>
          <w:color w:val="auto"/>
          <w:sz w:val="28"/>
          <w:szCs w:val="28"/>
          <w:highlight w:val="none"/>
        </w:rPr>
        <w:t>1-1至1-4）全部产品必须适配符合安全可靠测评要求的计算机平台及符合安全可靠测评要求的操作系统。</w:t>
      </w:r>
    </w:p>
    <w:p w14:paraId="0D16F1E9">
      <w:pPr>
        <w:tabs>
          <w:tab w:val="left" w:pos="5130"/>
        </w:tabs>
        <w:spacing w:line="360" w:lineRule="auto"/>
        <w:ind w:firstLine="482" w:firstLineChars="200"/>
        <w:rPr>
          <w:rFonts w:ascii="宋体" w:hAnsi="宋体"/>
          <w:b/>
          <w:color w:val="auto"/>
          <w:sz w:val="24"/>
          <w:szCs w:val="24"/>
          <w:highlight w:val="none"/>
        </w:rPr>
      </w:pPr>
    </w:p>
    <w:p w14:paraId="489E5FB1">
      <w:pPr>
        <w:spacing w:line="360" w:lineRule="auto"/>
        <w:jc w:val="left"/>
        <w:rPr>
          <w:rFonts w:ascii="宋体" w:hAnsi="宋体"/>
          <w:b/>
          <w:color w:val="auto"/>
          <w:sz w:val="28"/>
          <w:szCs w:val="28"/>
          <w:highlight w:val="none"/>
        </w:rPr>
      </w:pPr>
      <w:r>
        <w:rPr>
          <w:rFonts w:hint="eastAsia" w:ascii="宋体" w:hAnsi="宋体"/>
          <w:b/>
          <w:color w:val="auto"/>
          <w:sz w:val="28"/>
          <w:szCs w:val="28"/>
          <w:highlight w:val="none"/>
        </w:rPr>
        <w:t>三、技术商务响应要求</w:t>
      </w:r>
    </w:p>
    <w:p w14:paraId="367839B0">
      <w:pPr>
        <w:spacing w:line="360" w:lineRule="auto"/>
        <w:ind w:firstLine="562" w:firstLineChars="200"/>
        <w:jc w:val="left"/>
        <w:rPr>
          <w:rFonts w:ascii="宋体" w:hAnsi="宋体"/>
          <w:b/>
          <w:color w:val="auto"/>
          <w:sz w:val="24"/>
          <w:szCs w:val="24"/>
          <w:highlight w:val="none"/>
        </w:rPr>
      </w:pPr>
      <w:r>
        <w:rPr>
          <w:rFonts w:ascii="宋体" w:hAnsi="宋体"/>
          <w:b/>
          <w:color w:val="auto"/>
          <w:sz w:val="28"/>
          <w:szCs w:val="28"/>
          <w:highlight w:val="none"/>
        </w:rPr>
        <w:t>*1、投标人所投标设备应符合国家强制性产品认证标准的要求，</w:t>
      </w:r>
      <w:r>
        <w:rPr>
          <w:rFonts w:hint="eastAsia" w:ascii="宋体" w:hAnsi="宋体"/>
          <w:b/>
          <w:color w:val="auto"/>
          <w:sz w:val="28"/>
          <w:szCs w:val="28"/>
          <w:highlight w:val="none"/>
        </w:rPr>
        <w:t>投标人需提供3C认证或强制性认证产品符合性自我声明复印件</w:t>
      </w:r>
      <w:r>
        <w:rPr>
          <w:rFonts w:ascii="宋体" w:hAnsi="宋体"/>
          <w:b/>
          <w:color w:val="auto"/>
          <w:sz w:val="28"/>
          <w:szCs w:val="28"/>
          <w:highlight w:val="none"/>
        </w:rPr>
        <w:t>。</w:t>
      </w:r>
    </w:p>
    <w:p w14:paraId="22543A34">
      <w:pPr>
        <w:spacing w:line="360" w:lineRule="auto"/>
        <w:ind w:firstLine="560" w:firstLineChars="200"/>
        <w:jc w:val="left"/>
        <w:rPr>
          <w:rFonts w:asciiTheme="minorEastAsia" w:hAnsiTheme="minorEastAsia" w:eastAsiaTheme="minorEastAsia"/>
          <w:color w:val="auto"/>
          <w:sz w:val="28"/>
          <w:szCs w:val="28"/>
          <w:highlight w:val="none"/>
        </w:rPr>
      </w:pPr>
      <w:r>
        <w:rPr>
          <w:rFonts w:asciiTheme="minorEastAsia" w:hAnsiTheme="minorEastAsia" w:eastAsiaTheme="minorEastAsia"/>
          <w:color w:val="auto"/>
          <w:sz w:val="28"/>
          <w:szCs w:val="28"/>
          <w:highlight w:val="none"/>
        </w:rPr>
        <w:t>2、投标人需提供企业供货、履约能力基本情况的说明。</w:t>
      </w:r>
    </w:p>
    <w:p w14:paraId="7C54328A">
      <w:pPr>
        <w:spacing w:line="360" w:lineRule="auto"/>
        <w:ind w:firstLine="560" w:firstLineChars="200"/>
        <w:jc w:val="left"/>
        <w:rPr>
          <w:rFonts w:asciiTheme="minorEastAsia" w:hAnsiTheme="minorEastAsia" w:eastAsiaTheme="minorEastAsia"/>
          <w:color w:val="auto"/>
          <w:sz w:val="28"/>
          <w:szCs w:val="28"/>
          <w:highlight w:val="none"/>
        </w:rPr>
      </w:pPr>
      <w:r>
        <w:rPr>
          <w:rFonts w:asciiTheme="minorEastAsia" w:hAnsiTheme="minorEastAsia" w:eastAsiaTheme="minorEastAsia"/>
          <w:color w:val="auto"/>
          <w:sz w:val="28"/>
          <w:szCs w:val="28"/>
          <w:highlight w:val="none"/>
        </w:rPr>
        <w:t>3、投标人应具有良好的商业信誉和健全的财务会计制度，具有履行合同所必需的货物和专业技术能力，有依法缴纳税收和社会保障资金的良好记录。</w:t>
      </w:r>
    </w:p>
    <w:p w14:paraId="79548E13">
      <w:pPr>
        <w:spacing w:line="360" w:lineRule="auto"/>
        <w:ind w:firstLine="560" w:firstLineChars="200"/>
        <w:jc w:val="left"/>
        <w:rPr>
          <w:rFonts w:asciiTheme="minorEastAsia" w:hAnsiTheme="minorEastAsia" w:eastAsiaTheme="minorEastAsia"/>
          <w:color w:val="auto"/>
          <w:sz w:val="28"/>
          <w:szCs w:val="28"/>
          <w:highlight w:val="none"/>
        </w:rPr>
      </w:pPr>
      <w:r>
        <w:rPr>
          <w:rFonts w:asciiTheme="minorEastAsia" w:hAnsiTheme="minorEastAsia" w:eastAsiaTheme="minorEastAsia"/>
          <w:color w:val="auto"/>
          <w:sz w:val="28"/>
          <w:szCs w:val="28"/>
          <w:highlight w:val="none"/>
        </w:rPr>
        <w:t>4、投标人所投产品的制造厂商必须通过ISO9001质量体系认证及ISO14000环保体系认证。</w:t>
      </w:r>
    </w:p>
    <w:p w14:paraId="08978CFB">
      <w:pPr>
        <w:spacing w:line="360" w:lineRule="auto"/>
        <w:ind w:firstLine="560" w:firstLineChars="200"/>
        <w:jc w:val="left"/>
        <w:rPr>
          <w:rFonts w:asciiTheme="minorEastAsia" w:hAnsiTheme="minorEastAsia" w:eastAsiaTheme="minorEastAsia"/>
          <w:color w:val="auto"/>
          <w:sz w:val="28"/>
          <w:szCs w:val="28"/>
          <w:highlight w:val="none"/>
        </w:rPr>
      </w:pPr>
      <w:r>
        <w:rPr>
          <w:rFonts w:asciiTheme="minorEastAsia" w:hAnsiTheme="minorEastAsia" w:eastAsiaTheme="minorEastAsia"/>
          <w:color w:val="auto"/>
          <w:sz w:val="28"/>
          <w:szCs w:val="28"/>
          <w:highlight w:val="none"/>
        </w:rPr>
        <w:t>5、投标产品的制造厂商应在厦门设有常驻的维修保养机构，能保证定期对货物巡检；并在投标文件中详细介绍和提供维修保养机构的相关资料，如响应时间、维修保养机构的具体地点、联系电话、传真等。</w:t>
      </w:r>
    </w:p>
    <w:p w14:paraId="6930F8AB">
      <w:pPr>
        <w:spacing w:line="360" w:lineRule="auto"/>
        <w:ind w:firstLine="560" w:firstLineChars="200"/>
        <w:jc w:val="left"/>
        <w:rPr>
          <w:rFonts w:asciiTheme="minorEastAsia" w:hAnsiTheme="minorEastAsia" w:eastAsiaTheme="minorEastAsia"/>
          <w:color w:val="auto"/>
          <w:sz w:val="28"/>
          <w:szCs w:val="28"/>
          <w:highlight w:val="none"/>
        </w:rPr>
      </w:pPr>
      <w:r>
        <w:rPr>
          <w:rFonts w:asciiTheme="minorEastAsia" w:hAnsiTheme="minorEastAsia" w:eastAsiaTheme="minorEastAsia"/>
          <w:color w:val="auto"/>
          <w:sz w:val="28"/>
          <w:szCs w:val="28"/>
          <w:highlight w:val="none"/>
        </w:rPr>
        <w:t xml:space="preserve">6、投标人应在投标文件中提供所投设备详细的配置、技术参数指标, </w:t>
      </w:r>
      <w:r>
        <w:rPr>
          <w:rFonts w:hint="eastAsia" w:asciiTheme="minorEastAsia" w:hAnsiTheme="minorEastAsia" w:eastAsiaTheme="minorEastAsia"/>
          <w:color w:val="auto"/>
          <w:sz w:val="28"/>
          <w:szCs w:val="28"/>
          <w:highlight w:val="none"/>
        </w:rPr>
        <w:t>执行标准，文字资料、彩图或彩页</w:t>
      </w:r>
      <w:r>
        <w:rPr>
          <w:rFonts w:asciiTheme="minorEastAsia" w:hAnsiTheme="minorEastAsia" w:eastAsiaTheme="minorEastAsia"/>
          <w:color w:val="auto"/>
          <w:sz w:val="28"/>
          <w:szCs w:val="28"/>
          <w:highlight w:val="none"/>
        </w:rPr>
        <w:t xml:space="preserve">, </w:t>
      </w:r>
      <w:r>
        <w:rPr>
          <w:rFonts w:hint="eastAsia" w:asciiTheme="minorEastAsia" w:hAnsiTheme="minorEastAsia" w:eastAsiaTheme="minorEastAsia"/>
          <w:color w:val="auto"/>
          <w:sz w:val="28"/>
          <w:szCs w:val="28"/>
          <w:highlight w:val="none"/>
        </w:rPr>
        <w:t>注明投标货物的产地、品牌、规格型号以及相应的技术、性能等。</w:t>
      </w:r>
    </w:p>
    <w:p w14:paraId="27C4998C">
      <w:pPr>
        <w:spacing w:line="360" w:lineRule="auto"/>
        <w:ind w:firstLine="560" w:firstLineChars="200"/>
        <w:jc w:val="left"/>
        <w:rPr>
          <w:rFonts w:asciiTheme="minorEastAsia" w:hAnsiTheme="minorEastAsia" w:eastAsiaTheme="minorEastAsia"/>
          <w:color w:val="auto"/>
          <w:sz w:val="28"/>
          <w:szCs w:val="28"/>
          <w:highlight w:val="none"/>
        </w:rPr>
      </w:pPr>
      <w:r>
        <w:rPr>
          <w:rFonts w:asciiTheme="minorEastAsia" w:hAnsiTheme="minorEastAsia" w:eastAsiaTheme="minorEastAsia"/>
          <w:color w:val="auto"/>
          <w:sz w:val="28"/>
          <w:szCs w:val="28"/>
          <w:highlight w:val="none"/>
        </w:rPr>
        <w:t>7、投标人应提供能证明其货物制造商实力、货物品质的有关文件资料。</w:t>
      </w:r>
    </w:p>
    <w:p w14:paraId="17EC987D">
      <w:pPr>
        <w:spacing w:line="360" w:lineRule="auto"/>
        <w:ind w:firstLine="560" w:firstLineChars="200"/>
        <w:jc w:val="left"/>
        <w:rPr>
          <w:rFonts w:asciiTheme="minorEastAsia" w:hAnsiTheme="minorEastAsia" w:eastAsiaTheme="minorEastAsia"/>
          <w:color w:val="auto"/>
          <w:sz w:val="28"/>
          <w:szCs w:val="28"/>
          <w:highlight w:val="none"/>
        </w:rPr>
      </w:pPr>
      <w:r>
        <w:rPr>
          <w:rFonts w:asciiTheme="minorEastAsia" w:hAnsiTheme="minorEastAsia" w:eastAsiaTheme="minorEastAsia"/>
          <w:color w:val="auto"/>
          <w:sz w:val="28"/>
          <w:szCs w:val="28"/>
          <w:highlight w:val="none"/>
        </w:rPr>
        <w:t>8、投标人应在投标文件中列表对招标文件第二部分中的技术商务评分条款进行一对一的响应说明。</w:t>
      </w:r>
    </w:p>
    <w:p w14:paraId="0820B414">
      <w:pPr>
        <w:spacing w:line="360" w:lineRule="auto"/>
        <w:jc w:val="left"/>
        <w:rPr>
          <w:rFonts w:asciiTheme="minorEastAsia" w:hAnsiTheme="minorEastAsia" w:eastAsiaTheme="minorEastAsia"/>
          <w:b/>
          <w:color w:val="auto"/>
          <w:sz w:val="28"/>
          <w:szCs w:val="28"/>
          <w:highlight w:val="none"/>
        </w:rPr>
      </w:pPr>
    </w:p>
    <w:p w14:paraId="7B4F8DC8">
      <w:pPr>
        <w:spacing w:line="360" w:lineRule="auto"/>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四、资格证明文件</w:t>
      </w:r>
    </w:p>
    <w:p w14:paraId="737C548D">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投标人应提供工商营业执照（副本）（加盖公章）的复印件，提供税务登记证及组织机构代码证复印件。投标人已提供加载有统一社会信用代码营业执照的，视为已提供税务登记证和组织机构代码证。</w:t>
      </w:r>
    </w:p>
    <w:p w14:paraId="0105319C">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*2、</w:t>
      </w:r>
      <w:r>
        <w:rPr>
          <w:rFonts w:hint="eastAsia" w:asciiTheme="minorEastAsia" w:hAnsiTheme="minorEastAsia" w:eastAsiaTheme="minorEastAsia"/>
          <w:b/>
          <w:color w:val="auto"/>
          <w:sz w:val="28"/>
          <w:szCs w:val="28"/>
          <w:highlight w:val="none"/>
        </w:rPr>
        <w:t>投标人全权代表若不是单位负责人，应提供单位授权书原件，并提供被授权代表身份证复印件。</w:t>
      </w:r>
    </w:p>
    <w:p w14:paraId="636EA168">
      <w:pPr>
        <w:spacing w:line="360" w:lineRule="auto"/>
        <w:ind w:firstLine="560" w:firstLineChars="200"/>
        <w:jc w:val="left"/>
        <w:rPr>
          <w:rFonts w:asciiTheme="minorEastAsia" w:hAnsiTheme="minorEastAsia" w:eastAsiaTheme="minorEastAsia"/>
          <w:color w:val="auto"/>
          <w:sz w:val="28"/>
          <w:szCs w:val="28"/>
          <w:highlight w:val="none"/>
        </w:rPr>
      </w:pPr>
    </w:p>
    <w:p w14:paraId="3D9F919E">
      <w:pPr>
        <w:spacing w:line="360" w:lineRule="auto"/>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五、售后服务要求</w:t>
      </w:r>
    </w:p>
    <w:p w14:paraId="45872E08">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*1、投标人承诺设备</w:t>
      </w:r>
      <w:r>
        <w:rPr>
          <w:rFonts w:hint="eastAsia" w:asciiTheme="minorEastAsia" w:hAnsiTheme="minorEastAsia" w:eastAsiaTheme="minorEastAsia"/>
          <w:b/>
          <w:color w:val="auto"/>
          <w:sz w:val="28"/>
          <w:szCs w:val="28"/>
          <w:highlight w:val="none"/>
        </w:rPr>
        <w:t>自最终验收合格之日起至少三年免费上门保修，且不得低于品牌官网的保修年限及标准。</w:t>
      </w:r>
    </w:p>
    <w:p w14:paraId="55602915">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*2、投标人应在投标文件中提供具体的售后服务承诺条款。</w:t>
      </w:r>
    </w:p>
    <w:p w14:paraId="33B7B507">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*3、投标人承诺，一旦中标，在接到采购单位或最终用户的报修电话，应在0.5个工作小时内电话响应，4个工作小时内到达，到达后8个工作小时内修复；若在8个工作小时内无法修复的，中标供应商应先提供备用机</w:t>
      </w:r>
      <w:r>
        <w:rPr>
          <w:rFonts w:hint="eastAsia" w:asciiTheme="minorEastAsia" w:hAnsiTheme="minorEastAsia" w:eastAsiaTheme="minorEastAsia"/>
          <w:b/>
          <w:color w:val="auto"/>
          <w:sz w:val="28"/>
          <w:szCs w:val="28"/>
          <w:highlight w:val="none"/>
        </w:rPr>
        <w:t>供最终用户使用，直至设备修复；如中标供应商所提供的备用机与故障机的型号不同，则需免费提供耗材。如果中标供应商未在承诺的时间内将设备修复或者提供备用机的则中标供应商应按</w:t>
      </w:r>
      <w:r>
        <w:rPr>
          <w:rFonts w:asciiTheme="minorEastAsia" w:hAnsiTheme="minorEastAsia" w:eastAsiaTheme="minorEastAsia"/>
          <w:b/>
          <w:color w:val="auto"/>
          <w:sz w:val="28"/>
          <w:szCs w:val="28"/>
          <w:highlight w:val="none"/>
        </w:rPr>
        <w:t>200.00元/台/天向采购单位支付逾期违约金。</w:t>
      </w:r>
    </w:p>
    <w:p w14:paraId="30AF7E44">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*4、投标人承诺，如果中标，在履行合同期间出现如下任</w:t>
      </w:r>
      <w:r>
        <w:rPr>
          <w:rFonts w:hint="eastAsia" w:asciiTheme="minorEastAsia" w:hAnsiTheme="minorEastAsia" w:eastAsiaTheme="minorEastAsia"/>
          <w:b/>
          <w:color w:val="auto"/>
          <w:sz w:val="28"/>
          <w:szCs w:val="28"/>
          <w:highlight w:val="none"/>
        </w:rPr>
        <w:t>一情况的，采购单位有权单方面解除合同，中标供应商应支付相当于履约保证金金额的违约金。对中标供应商下述情况在厦门招投标网进行公示，并在三年内拒绝卖方进入大宗政府招标采购项目的投标报价。同时，改由大宗招标排名第二的供应商供货。</w:t>
      </w:r>
    </w:p>
    <w:p w14:paraId="2995E10F">
      <w:pPr>
        <w:spacing w:line="360" w:lineRule="auto"/>
        <w:ind w:firstLine="562" w:firstLineChars="200"/>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w:t>
      </w:r>
      <w:r>
        <w:rPr>
          <w:rFonts w:asciiTheme="minorEastAsia" w:hAnsiTheme="minorEastAsia" w:eastAsiaTheme="minorEastAsia"/>
          <w:b/>
          <w:color w:val="auto"/>
          <w:sz w:val="28"/>
          <w:szCs w:val="28"/>
          <w:highlight w:val="none"/>
        </w:rPr>
        <w:t>1）违反法律法规、行业规范要求被有关部门查处的；</w:t>
      </w:r>
    </w:p>
    <w:p w14:paraId="6A117A90">
      <w:pPr>
        <w:spacing w:line="360" w:lineRule="auto"/>
        <w:ind w:firstLine="562" w:firstLineChars="200"/>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w:t>
      </w:r>
      <w:r>
        <w:rPr>
          <w:rFonts w:asciiTheme="minorEastAsia" w:hAnsiTheme="minorEastAsia" w:eastAsiaTheme="minorEastAsia"/>
          <w:b/>
          <w:color w:val="auto"/>
          <w:sz w:val="28"/>
          <w:szCs w:val="28"/>
          <w:highlight w:val="none"/>
        </w:rPr>
        <w:t>2）提供假冒伪劣产品的；</w:t>
      </w:r>
    </w:p>
    <w:p w14:paraId="2FDE6CFD">
      <w:pPr>
        <w:spacing w:line="360" w:lineRule="auto"/>
        <w:ind w:firstLine="562" w:firstLineChars="200"/>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w:t>
      </w:r>
      <w:r>
        <w:rPr>
          <w:rFonts w:asciiTheme="minorEastAsia" w:hAnsiTheme="minorEastAsia" w:eastAsiaTheme="minorEastAsia"/>
          <w:b/>
          <w:color w:val="auto"/>
          <w:sz w:val="28"/>
          <w:szCs w:val="28"/>
          <w:highlight w:val="none"/>
        </w:rPr>
        <w:t>3）通过给回扣或变相给回扣的方式招揽业务的；</w:t>
      </w:r>
    </w:p>
    <w:p w14:paraId="357909B2">
      <w:pPr>
        <w:spacing w:line="360" w:lineRule="auto"/>
        <w:ind w:firstLine="562" w:firstLineChars="200"/>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w:t>
      </w:r>
      <w:r>
        <w:rPr>
          <w:rFonts w:asciiTheme="minorEastAsia" w:hAnsiTheme="minorEastAsia" w:eastAsiaTheme="minorEastAsia"/>
          <w:b/>
          <w:color w:val="auto"/>
          <w:sz w:val="28"/>
          <w:szCs w:val="28"/>
          <w:highlight w:val="none"/>
        </w:rPr>
        <w:t>4）因产品质量或服务问题被有效投诉达三次以上的；</w:t>
      </w:r>
    </w:p>
    <w:p w14:paraId="4A0598F8">
      <w:pPr>
        <w:spacing w:line="360" w:lineRule="auto"/>
        <w:ind w:firstLine="562" w:firstLineChars="200"/>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w:t>
      </w:r>
      <w:r>
        <w:rPr>
          <w:rFonts w:asciiTheme="minorEastAsia" w:hAnsiTheme="minorEastAsia" w:eastAsiaTheme="minorEastAsia"/>
          <w:b/>
          <w:color w:val="auto"/>
          <w:sz w:val="28"/>
          <w:szCs w:val="28"/>
          <w:highlight w:val="none"/>
        </w:rPr>
        <w:t>5）向有关部门、采购单位、最终使用方提供虚假信息或资料等情况的；</w:t>
      </w:r>
    </w:p>
    <w:p w14:paraId="4B3920C9">
      <w:pPr>
        <w:spacing w:line="360" w:lineRule="auto"/>
        <w:ind w:firstLine="562" w:firstLineChars="200"/>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w:t>
      </w:r>
      <w:r>
        <w:rPr>
          <w:rFonts w:asciiTheme="minorEastAsia" w:hAnsiTheme="minorEastAsia" w:eastAsiaTheme="minorEastAsia"/>
          <w:b/>
          <w:color w:val="auto"/>
          <w:sz w:val="28"/>
          <w:szCs w:val="28"/>
          <w:highlight w:val="none"/>
        </w:rPr>
        <w:t>6）出现重大客诉（包含政府采购管理部门督办事件、新闻媒体公开报道、采购业主书面发函投诉等以及其他引起严重影响的事件），对采购单位造成严重影响；</w:t>
      </w:r>
    </w:p>
    <w:p w14:paraId="4EC5B7A3">
      <w:pPr>
        <w:spacing w:line="360" w:lineRule="auto"/>
        <w:ind w:firstLine="562" w:firstLineChars="200"/>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w:t>
      </w:r>
      <w:r>
        <w:rPr>
          <w:rFonts w:asciiTheme="minorEastAsia" w:hAnsiTheme="minorEastAsia" w:eastAsiaTheme="minorEastAsia"/>
          <w:b/>
          <w:color w:val="auto"/>
          <w:sz w:val="28"/>
          <w:szCs w:val="28"/>
          <w:highlight w:val="none"/>
        </w:rPr>
        <w:t>7）</w:t>
      </w:r>
      <w:r>
        <w:rPr>
          <w:rFonts w:hint="eastAsia" w:asciiTheme="minorEastAsia" w:hAnsiTheme="minorEastAsia" w:eastAsiaTheme="minorEastAsia"/>
          <w:b/>
          <w:color w:val="auto"/>
          <w:sz w:val="28"/>
          <w:szCs w:val="28"/>
          <w:highlight w:val="none"/>
        </w:rPr>
        <w:t>报修率超过</w:t>
      </w:r>
      <w:r>
        <w:rPr>
          <w:rFonts w:asciiTheme="minorEastAsia" w:hAnsiTheme="minorEastAsia" w:eastAsiaTheme="minorEastAsia"/>
          <w:b/>
          <w:color w:val="auto"/>
          <w:sz w:val="28"/>
          <w:szCs w:val="28"/>
          <w:highlight w:val="none"/>
        </w:rPr>
        <w:t>3%。</w:t>
      </w:r>
      <w:r>
        <w:rPr>
          <w:rFonts w:hint="eastAsia" w:asciiTheme="minorEastAsia" w:hAnsiTheme="minorEastAsia" w:eastAsiaTheme="minorEastAsia"/>
          <w:b/>
          <w:color w:val="auto"/>
          <w:sz w:val="28"/>
          <w:szCs w:val="28"/>
          <w:highlight w:val="none"/>
        </w:rPr>
        <w:t>报修率</w:t>
      </w:r>
      <w:r>
        <w:rPr>
          <w:rFonts w:asciiTheme="minorEastAsia" w:hAnsiTheme="minorEastAsia" w:eastAsiaTheme="minorEastAsia"/>
          <w:b/>
          <w:color w:val="auto"/>
          <w:sz w:val="28"/>
          <w:szCs w:val="28"/>
          <w:highlight w:val="none"/>
        </w:rPr>
        <w:t>=报修有效台数/已销售台数*100%。</w:t>
      </w:r>
      <w:r>
        <w:rPr>
          <w:rFonts w:hint="eastAsia" w:asciiTheme="minorEastAsia" w:hAnsiTheme="minorEastAsia" w:eastAsiaTheme="minorEastAsia"/>
          <w:b/>
          <w:color w:val="auto"/>
          <w:sz w:val="28"/>
          <w:szCs w:val="28"/>
          <w:highlight w:val="none"/>
        </w:rPr>
        <w:t>（已销售台数超过</w:t>
      </w:r>
      <w:r>
        <w:rPr>
          <w:rFonts w:asciiTheme="minorEastAsia" w:hAnsiTheme="minorEastAsia" w:eastAsiaTheme="minorEastAsia"/>
          <w:b/>
          <w:color w:val="auto"/>
          <w:sz w:val="28"/>
          <w:szCs w:val="28"/>
          <w:highlight w:val="none"/>
        </w:rPr>
        <w:t>100台之后开始计算报修率）。</w:t>
      </w:r>
    </w:p>
    <w:p w14:paraId="3534978A">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5、投标人承诺，如果中标，验收时（包括初验和最终验收），投标人必须派代表参加并确认验收结果，否则视为投标人对验收意见无异议。如该批次产品在最终验收时，出现开箱破损或者故障，无法进行最终验收的，投标人承诺无条件给予更换新机并保证最终验收的顺畅进行。若投标人不同意更换新机或者配合，采购单位有权直接于</w:t>
      </w:r>
      <w:r>
        <w:rPr>
          <w:rFonts w:hint="eastAsia" w:asciiTheme="minorEastAsia" w:hAnsiTheme="minorEastAsia" w:eastAsiaTheme="minorEastAsia"/>
          <w:b/>
          <w:color w:val="auto"/>
          <w:sz w:val="28"/>
          <w:szCs w:val="28"/>
          <w:highlight w:val="none"/>
        </w:rPr>
        <w:t>投标人的履约保证金中扣除该批次产品及安装的等额费用。该条款可能造成的成本费用包含在投标人的产品报价中。</w:t>
      </w:r>
    </w:p>
    <w:p w14:paraId="75487D35">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*6、投标人承诺，如果中标，因投标人产品给采购单位造成的客诉，若投标人在接到采购单位通知后3个日历日内无法解决客诉，采购单位有权自行解决客诉，并直接于投标人的履约保证金中扣除解决</w:t>
      </w:r>
      <w:r>
        <w:rPr>
          <w:rFonts w:hint="eastAsia" w:asciiTheme="minorEastAsia" w:hAnsiTheme="minorEastAsia" w:eastAsiaTheme="minorEastAsia"/>
          <w:b/>
          <w:color w:val="auto"/>
          <w:sz w:val="28"/>
          <w:szCs w:val="28"/>
          <w:highlight w:val="none"/>
        </w:rPr>
        <w:t>客诉所产生的费用。该条款可能造成的成本费用包含在投标人的产品报价中。</w:t>
      </w:r>
    </w:p>
    <w:p w14:paraId="58C588F1">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*7、</w:t>
      </w:r>
      <w:r>
        <w:rPr>
          <w:rFonts w:hint="eastAsia" w:asciiTheme="minorEastAsia" w:hAnsiTheme="minorEastAsia" w:eastAsiaTheme="minorEastAsia"/>
          <w:b/>
          <w:color w:val="auto"/>
          <w:sz w:val="28"/>
          <w:szCs w:val="28"/>
          <w:highlight w:val="none"/>
        </w:rPr>
        <w:t>高拍仪安装过程中或者保修期内及保修期外的维修维护过程中负责安装并检查牢固，如需要拆卸绿板时，绿板拆卸后需重新免费负责安装并检查牢固，否则导致高拍仪或者绿板脱落、掉落情况，每次卖方应向买方支付</w:t>
      </w:r>
      <w:r>
        <w:rPr>
          <w:rFonts w:asciiTheme="minorEastAsia" w:hAnsiTheme="minorEastAsia" w:eastAsiaTheme="minorEastAsia"/>
          <w:b/>
          <w:color w:val="auto"/>
          <w:sz w:val="28"/>
          <w:szCs w:val="28"/>
          <w:highlight w:val="none"/>
        </w:rPr>
        <w:t>10000元违约金；严重情况出现伤人时，每次卖方应向买方支付20000元违约金；造成对买方客户可能的赔偿均由卖方承担，此费用买方有权在与卖方未结算货款时或履约保证金中扣除相应费用。若违约金不</w:t>
      </w:r>
      <w:r>
        <w:rPr>
          <w:rFonts w:hint="eastAsia" w:asciiTheme="minorEastAsia" w:hAnsiTheme="minorEastAsia" w:eastAsiaTheme="minorEastAsia"/>
          <w:b/>
          <w:color w:val="auto"/>
          <w:sz w:val="28"/>
          <w:szCs w:val="28"/>
          <w:highlight w:val="none"/>
        </w:rPr>
        <w:t>足以拟补损失时，卖方有权利要求买方增加违约金，需按实际损失赔偿。</w:t>
      </w:r>
    </w:p>
    <w:p w14:paraId="5DC846F7">
      <w:pPr>
        <w:spacing w:line="360" w:lineRule="auto"/>
        <w:ind w:firstLine="562" w:firstLineChars="200"/>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*8、为保证服务及时性，中标供应商在接到</w:t>
      </w:r>
      <w:r>
        <w:rPr>
          <w:rFonts w:hint="default" w:asciiTheme="minorEastAsia" w:hAnsiTheme="minorEastAsia" w:eastAsiaTheme="minorEastAsia"/>
          <w:b/>
          <w:color w:val="auto"/>
          <w:sz w:val="28"/>
          <w:szCs w:val="28"/>
          <w:highlight w:val="none"/>
        </w:rPr>
        <w:t>采购单位</w:t>
      </w:r>
      <w:r>
        <w:rPr>
          <w:rFonts w:hint="eastAsia" w:asciiTheme="minorEastAsia" w:hAnsiTheme="minorEastAsia" w:eastAsiaTheme="minorEastAsia"/>
          <w:b/>
          <w:color w:val="auto"/>
          <w:sz w:val="28"/>
          <w:szCs w:val="28"/>
          <w:highlight w:val="none"/>
        </w:rPr>
        <w:t>通知后24小时内未上门安装及提供维保服务，或经过</w:t>
      </w:r>
      <w:r>
        <w:rPr>
          <w:rFonts w:hint="default" w:asciiTheme="minorEastAsia" w:hAnsiTheme="minorEastAsia" w:eastAsiaTheme="minorEastAsia"/>
          <w:b/>
          <w:color w:val="auto"/>
          <w:sz w:val="28"/>
          <w:szCs w:val="28"/>
          <w:highlight w:val="none"/>
        </w:rPr>
        <w:t>采购单位</w:t>
      </w:r>
      <w:r>
        <w:rPr>
          <w:rFonts w:hint="eastAsia" w:asciiTheme="minorEastAsia" w:hAnsiTheme="minorEastAsia" w:eastAsiaTheme="minorEastAsia"/>
          <w:b/>
          <w:color w:val="auto"/>
          <w:sz w:val="28"/>
          <w:szCs w:val="28"/>
          <w:highlight w:val="none"/>
        </w:rPr>
        <w:t>监管服务未达到</w:t>
      </w:r>
      <w:r>
        <w:rPr>
          <w:rFonts w:hint="default" w:asciiTheme="minorEastAsia" w:hAnsiTheme="minorEastAsia" w:eastAsiaTheme="minorEastAsia"/>
          <w:b/>
          <w:color w:val="auto"/>
          <w:sz w:val="28"/>
          <w:szCs w:val="28"/>
          <w:highlight w:val="none"/>
        </w:rPr>
        <w:t>采购单位</w:t>
      </w:r>
      <w:r>
        <w:rPr>
          <w:rFonts w:hint="eastAsia" w:asciiTheme="minorEastAsia" w:hAnsiTheme="minorEastAsia" w:eastAsiaTheme="minorEastAsia"/>
          <w:b/>
          <w:color w:val="auto"/>
          <w:sz w:val="28"/>
          <w:szCs w:val="28"/>
          <w:highlight w:val="none"/>
        </w:rPr>
        <w:t>要求的，</w:t>
      </w:r>
      <w:r>
        <w:rPr>
          <w:rFonts w:hint="default" w:asciiTheme="minorEastAsia" w:hAnsiTheme="minorEastAsia" w:eastAsiaTheme="minorEastAsia"/>
          <w:b/>
          <w:color w:val="auto"/>
          <w:sz w:val="28"/>
          <w:szCs w:val="28"/>
          <w:highlight w:val="none"/>
        </w:rPr>
        <w:t>采购单位</w:t>
      </w:r>
      <w:r>
        <w:rPr>
          <w:rFonts w:hint="eastAsia" w:asciiTheme="minorEastAsia" w:hAnsiTheme="minorEastAsia" w:eastAsiaTheme="minorEastAsia"/>
          <w:b/>
          <w:color w:val="auto"/>
          <w:sz w:val="28"/>
          <w:szCs w:val="28"/>
          <w:highlight w:val="none"/>
        </w:rPr>
        <w:t>有权另行安排人员上门为最终用户提供安装及维保服务，导致</w:t>
      </w:r>
      <w:r>
        <w:rPr>
          <w:rFonts w:hint="default" w:asciiTheme="minorEastAsia" w:hAnsiTheme="minorEastAsia" w:eastAsiaTheme="minorEastAsia"/>
          <w:b/>
          <w:color w:val="auto"/>
          <w:sz w:val="28"/>
          <w:szCs w:val="28"/>
          <w:highlight w:val="none"/>
        </w:rPr>
        <w:t>采购单位</w:t>
      </w:r>
      <w:r>
        <w:rPr>
          <w:rFonts w:hint="eastAsia" w:asciiTheme="minorEastAsia" w:hAnsiTheme="minorEastAsia" w:eastAsiaTheme="minorEastAsia"/>
          <w:b/>
          <w:color w:val="auto"/>
          <w:sz w:val="28"/>
          <w:szCs w:val="28"/>
          <w:highlight w:val="none"/>
        </w:rPr>
        <w:t>选择自行为最终用户安装及提供维保服务所产生的费用由中标供应商承担，安装收费标准为80元/台，维保费用按照实际情况结算。中标供应商在安装完成后 30 个日历日内根据</w:t>
      </w:r>
      <w:r>
        <w:rPr>
          <w:rFonts w:hint="default" w:asciiTheme="minorEastAsia" w:hAnsiTheme="minorEastAsia" w:eastAsiaTheme="minorEastAsia"/>
          <w:b/>
          <w:color w:val="auto"/>
          <w:sz w:val="28"/>
          <w:szCs w:val="28"/>
          <w:highlight w:val="none"/>
        </w:rPr>
        <w:t>采购单位</w:t>
      </w:r>
      <w:r>
        <w:rPr>
          <w:rFonts w:hint="eastAsia" w:asciiTheme="minorEastAsia" w:hAnsiTheme="minorEastAsia" w:eastAsiaTheme="minorEastAsia"/>
          <w:b/>
          <w:color w:val="auto"/>
          <w:sz w:val="28"/>
          <w:szCs w:val="28"/>
          <w:highlight w:val="none"/>
        </w:rPr>
        <w:t>提供的货物验收单向</w:t>
      </w:r>
      <w:r>
        <w:rPr>
          <w:rFonts w:hint="default" w:asciiTheme="minorEastAsia" w:hAnsiTheme="minorEastAsia" w:eastAsiaTheme="minorEastAsia"/>
          <w:b/>
          <w:color w:val="auto"/>
          <w:sz w:val="28"/>
          <w:szCs w:val="28"/>
          <w:highlight w:val="none"/>
        </w:rPr>
        <w:t>采购单位</w:t>
      </w:r>
      <w:r>
        <w:rPr>
          <w:rFonts w:hint="eastAsia" w:asciiTheme="minorEastAsia" w:hAnsiTheme="minorEastAsia" w:eastAsiaTheme="minorEastAsia"/>
          <w:b/>
          <w:color w:val="auto"/>
          <w:sz w:val="28"/>
          <w:szCs w:val="28"/>
          <w:highlight w:val="none"/>
        </w:rPr>
        <w:t>支付安装费用，</w:t>
      </w:r>
      <w:r>
        <w:rPr>
          <w:rFonts w:hint="default" w:asciiTheme="minorEastAsia" w:hAnsiTheme="minorEastAsia" w:eastAsiaTheme="minorEastAsia"/>
          <w:b/>
          <w:color w:val="auto"/>
          <w:sz w:val="28"/>
          <w:szCs w:val="28"/>
          <w:highlight w:val="none"/>
        </w:rPr>
        <w:t>采购单位</w:t>
      </w:r>
      <w:r>
        <w:rPr>
          <w:rFonts w:hint="eastAsia" w:asciiTheme="minorEastAsia" w:hAnsiTheme="minorEastAsia" w:eastAsiaTheme="minorEastAsia"/>
          <w:b/>
          <w:color w:val="auto"/>
          <w:sz w:val="28"/>
          <w:szCs w:val="28"/>
          <w:highlight w:val="none"/>
        </w:rPr>
        <w:t>同步开具安装费发票。</w:t>
      </w:r>
    </w:p>
    <w:p w14:paraId="7589C29A">
      <w:pPr>
        <w:spacing w:line="360" w:lineRule="auto"/>
        <w:ind w:firstLine="562" w:firstLineChars="200"/>
        <w:jc w:val="left"/>
        <w:rPr>
          <w:rFonts w:asciiTheme="minorEastAsia" w:hAnsiTheme="minorEastAsia" w:eastAsiaTheme="minorEastAsia"/>
          <w:b/>
          <w:color w:val="auto"/>
          <w:sz w:val="28"/>
          <w:szCs w:val="28"/>
          <w:highlight w:val="none"/>
        </w:rPr>
      </w:pPr>
    </w:p>
    <w:p w14:paraId="4821CB9A">
      <w:pPr>
        <w:spacing w:line="360" w:lineRule="auto"/>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六、报价要求：</w:t>
      </w:r>
    </w:p>
    <w:p w14:paraId="005ED540">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*1、投标人须以人民币报价，投标总价为投标设备</w:t>
      </w:r>
      <w:r>
        <w:rPr>
          <w:rFonts w:hint="eastAsia" w:asciiTheme="minorEastAsia" w:hAnsiTheme="minorEastAsia" w:eastAsiaTheme="minorEastAsia"/>
          <w:b/>
          <w:color w:val="auto"/>
          <w:sz w:val="28"/>
          <w:szCs w:val="28"/>
          <w:highlight w:val="none"/>
        </w:rPr>
        <w:t>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投标总价中），报价方式为总包价。</w:t>
      </w:r>
    </w:p>
    <w:p w14:paraId="5757F173">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*2、投标人必须列出招标货物一览表中</w:t>
      </w:r>
      <w:r>
        <w:rPr>
          <w:rFonts w:hint="eastAsia" w:asciiTheme="minorEastAsia" w:hAnsiTheme="minorEastAsia" w:eastAsiaTheme="minorEastAsia"/>
          <w:b/>
          <w:color w:val="auto"/>
          <w:sz w:val="28"/>
          <w:szCs w:val="28"/>
          <w:highlight w:val="none"/>
        </w:rPr>
        <w:t>各合同包及品目号设备的单价及总价。</w:t>
      </w:r>
    </w:p>
    <w:p w14:paraId="7286800A">
      <w:pPr>
        <w:adjustRightInd w:val="0"/>
        <w:snapToGrid w:val="0"/>
        <w:spacing w:line="360" w:lineRule="auto"/>
        <w:ind w:firstLine="551" w:firstLineChars="196"/>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*3、本项目</w:t>
      </w:r>
      <w:r>
        <w:rPr>
          <w:rFonts w:hint="eastAsia" w:asciiTheme="minorEastAsia" w:hAnsiTheme="minorEastAsia" w:eastAsiaTheme="minorEastAsia"/>
          <w:b/>
          <w:color w:val="auto"/>
          <w:sz w:val="28"/>
          <w:szCs w:val="28"/>
          <w:highlight w:val="none"/>
        </w:rPr>
        <w:t>采购预算为人民币</w:t>
      </w:r>
      <w:r>
        <w:rPr>
          <w:rFonts w:hint="default" w:asciiTheme="minorEastAsia" w:hAnsiTheme="minorEastAsia" w:eastAsiaTheme="minorEastAsia"/>
          <w:b/>
          <w:color w:val="auto"/>
          <w:sz w:val="28"/>
          <w:szCs w:val="28"/>
          <w:highlight w:val="none"/>
        </w:rPr>
        <w:t>412</w:t>
      </w:r>
      <w:r>
        <w:rPr>
          <w:rFonts w:asciiTheme="minorEastAsia" w:hAnsiTheme="minorEastAsia" w:eastAsiaTheme="minorEastAsia"/>
          <w:b/>
          <w:color w:val="auto"/>
          <w:sz w:val="28"/>
          <w:szCs w:val="28"/>
          <w:highlight w:val="none"/>
        </w:rPr>
        <w:t>.5万元整，投标总价不得超过该预算，品目号1-1单台设备投标报价不得超过650</w:t>
      </w:r>
      <w:r>
        <w:rPr>
          <w:rFonts w:hint="eastAsia" w:asciiTheme="minorEastAsia" w:hAnsiTheme="minorEastAsia" w:eastAsiaTheme="minorEastAsia"/>
          <w:b/>
          <w:color w:val="auto"/>
          <w:sz w:val="28"/>
          <w:szCs w:val="28"/>
          <w:highlight w:val="none"/>
        </w:rPr>
        <w:t>元</w:t>
      </w:r>
      <w:r>
        <w:rPr>
          <w:rFonts w:asciiTheme="minorEastAsia" w:hAnsiTheme="minorEastAsia" w:eastAsiaTheme="minorEastAsia"/>
          <w:b/>
          <w:color w:val="auto"/>
          <w:sz w:val="28"/>
          <w:szCs w:val="28"/>
          <w:highlight w:val="none"/>
        </w:rPr>
        <w:t>/台</w:t>
      </w:r>
      <w:r>
        <w:rPr>
          <w:rFonts w:hint="eastAsia" w:asciiTheme="minorEastAsia" w:hAnsiTheme="minorEastAsia" w:eastAsiaTheme="minorEastAsia"/>
          <w:b/>
          <w:color w:val="auto"/>
          <w:sz w:val="28"/>
          <w:szCs w:val="28"/>
          <w:highlight w:val="none"/>
        </w:rPr>
        <w:t>，品目号</w:t>
      </w:r>
      <w:r>
        <w:rPr>
          <w:rFonts w:asciiTheme="minorEastAsia" w:hAnsiTheme="minorEastAsia" w:eastAsiaTheme="minorEastAsia"/>
          <w:b/>
          <w:color w:val="auto"/>
          <w:sz w:val="28"/>
          <w:szCs w:val="28"/>
          <w:highlight w:val="none"/>
        </w:rPr>
        <w:t>1-2单台设备投标报价不得超过750元/台，品目号1-3</w:t>
      </w:r>
      <w:r>
        <w:rPr>
          <w:rFonts w:hint="eastAsia" w:asciiTheme="minorEastAsia" w:hAnsiTheme="minorEastAsia" w:eastAsiaTheme="minorEastAsia"/>
          <w:b/>
          <w:color w:val="auto"/>
          <w:sz w:val="28"/>
          <w:szCs w:val="28"/>
          <w:highlight w:val="none"/>
        </w:rPr>
        <w:t>单台设备投标报价不得超过</w:t>
      </w:r>
      <w:r>
        <w:rPr>
          <w:rFonts w:asciiTheme="minorEastAsia" w:hAnsiTheme="minorEastAsia" w:eastAsiaTheme="minorEastAsia"/>
          <w:b/>
          <w:color w:val="auto"/>
          <w:sz w:val="28"/>
          <w:szCs w:val="28"/>
          <w:highlight w:val="none"/>
        </w:rPr>
        <w:t>1000</w:t>
      </w:r>
      <w:r>
        <w:rPr>
          <w:rFonts w:hint="eastAsia" w:asciiTheme="minorEastAsia" w:hAnsiTheme="minorEastAsia" w:eastAsiaTheme="minorEastAsia"/>
          <w:b/>
          <w:color w:val="auto"/>
          <w:sz w:val="28"/>
          <w:szCs w:val="28"/>
          <w:highlight w:val="none"/>
        </w:rPr>
        <w:t>元</w:t>
      </w:r>
      <w:r>
        <w:rPr>
          <w:rFonts w:asciiTheme="minorEastAsia" w:hAnsiTheme="minorEastAsia" w:eastAsiaTheme="minorEastAsia"/>
          <w:b/>
          <w:color w:val="auto"/>
          <w:sz w:val="28"/>
          <w:szCs w:val="28"/>
          <w:highlight w:val="none"/>
        </w:rPr>
        <w:t>/台</w:t>
      </w:r>
      <w:r>
        <w:rPr>
          <w:rFonts w:hint="eastAsia" w:asciiTheme="minorEastAsia" w:hAnsiTheme="minorEastAsia" w:eastAsiaTheme="minorEastAsia"/>
          <w:b/>
          <w:color w:val="auto"/>
          <w:sz w:val="28"/>
          <w:szCs w:val="28"/>
          <w:highlight w:val="none"/>
        </w:rPr>
        <w:t>，品目号</w:t>
      </w:r>
      <w:r>
        <w:rPr>
          <w:rFonts w:asciiTheme="minorEastAsia" w:hAnsiTheme="minorEastAsia" w:eastAsiaTheme="minorEastAsia"/>
          <w:b/>
          <w:color w:val="auto"/>
          <w:sz w:val="28"/>
          <w:szCs w:val="28"/>
          <w:highlight w:val="none"/>
        </w:rPr>
        <w:t>1-4</w:t>
      </w:r>
      <w:r>
        <w:rPr>
          <w:rFonts w:hint="eastAsia" w:asciiTheme="minorEastAsia" w:hAnsiTheme="minorEastAsia" w:eastAsiaTheme="minorEastAsia"/>
          <w:b/>
          <w:color w:val="auto"/>
          <w:sz w:val="28"/>
          <w:szCs w:val="28"/>
          <w:highlight w:val="none"/>
        </w:rPr>
        <w:t>单台设备投标报价不得超过</w:t>
      </w:r>
      <w:r>
        <w:rPr>
          <w:rFonts w:asciiTheme="minorEastAsia" w:hAnsiTheme="minorEastAsia" w:eastAsiaTheme="minorEastAsia"/>
          <w:b/>
          <w:color w:val="auto"/>
          <w:sz w:val="28"/>
          <w:szCs w:val="28"/>
          <w:highlight w:val="none"/>
        </w:rPr>
        <w:t>1850元/台。</w:t>
      </w:r>
    </w:p>
    <w:p w14:paraId="1EFC9F37">
      <w:pPr>
        <w:widowControl/>
        <w:spacing w:line="360" w:lineRule="auto"/>
        <w:ind w:firstLine="562" w:firstLineChars="200"/>
        <w:jc w:val="left"/>
        <w:rPr>
          <w:rFonts w:cs="宋体" w:asciiTheme="minorEastAsia" w:hAnsiTheme="minorEastAsia" w:eastAsiaTheme="minorEastAsia"/>
          <w:color w:val="auto"/>
          <w:sz w:val="28"/>
          <w:szCs w:val="28"/>
          <w:highlight w:val="none"/>
        </w:rPr>
      </w:pPr>
      <w:r>
        <w:rPr>
          <w:rFonts w:asciiTheme="minorEastAsia" w:hAnsiTheme="minorEastAsia" w:eastAsiaTheme="minorEastAsia"/>
          <w:b/>
          <w:color w:val="auto"/>
          <w:sz w:val="28"/>
          <w:szCs w:val="28"/>
          <w:highlight w:val="none"/>
        </w:rPr>
        <w:t>*4、除《定货单》另有要求外，中标供应商负责将货物配送至采购单位仓库集中仓储（福建省内的指定城市）；中标供应商除承担运送至采购单位仓库的费用，还应同时承担从采购单位仓库运送至最终用户的</w:t>
      </w:r>
      <w:r>
        <w:rPr>
          <w:rFonts w:hint="eastAsia" w:cs="宋体" w:asciiTheme="minorEastAsia" w:hAnsiTheme="minorEastAsia" w:eastAsiaTheme="minorEastAsia"/>
          <w:b/>
          <w:color w:val="auto"/>
          <w:sz w:val="28"/>
          <w:szCs w:val="28"/>
          <w:highlight w:val="none"/>
        </w:rPr>
        <w:t>二次仓储操作及配送费用</w:t>
      </w:r>
      <w:r>
        <w:rPr>
          <w:rFonts w:hint="eastAsia" w:asciiTheme="minorEastAsia" w:hAnsiTheme="minorEastAsia" w:eastAsiaTheme="minorEastAsia"/>
          <w:b/>
          <w:color w:val="auto"/>
          <w:sz w:val="28"/>
          <w:szCs w:val="28"/>
          <w:highlight w:val="none"/>
        </w:rPr>
        <w:t>。中标供应商在接到采购单位《定货单》之日起</w:t>
      </w:r>
      <w:r>
        <w:rPr>
          <w:rFonts w:hint="eastAsia" w:cs="宋体" w:asciiTheme="minorEastAsia" w:hAnsiTheme="minorEastAsia" w:eastAsiaTheme="minorEastAsia"/>
          <w:b/>
          <w:color w:val="auto"/>
          <w:sz w:val="28"/>
          <w:szCs w:val="28"/>
          <w:highlight w:val="none"/>
        </w:rPr>
        <w:t>最长不超过</w:t>
      </w:r>
      <w:r>
        <w:rPr>
          <w:rFonts w:cs="宋体" w:asciiTheme="minorEastAsia" w:hAnsiTheme="minorEastAsia" w:eastAsiaTheme="minorEastAsia"/>
          <w:b/>
          <w:color w:val="auto"/>
          <w:sz w:val="28"/>
          <w:szCs w:val="28"/>
          <w:highlight w:val="none"/>
        </w:rPr>
        <w:t>10个日历日</w:t>
      </w:r>
      <w:r>
        <w:rPr>
          <w:rFonts w:hint="eastAsia" w:asciiTheme="minorEastAsia" w:hAnsiTheme="minorEastAsia" w:eastAsiaTheme="minorEastAsia"/>
          <w:b/>
          <w:color w:val="auto"/>
          <w:sz w:val="28"/>
          <w:szCs w:val="28"/>
          <w:highlight w:val="none"/>
        </w:rPr>
        <w:t>之内货交采购单位仓库，采购单位将直接委托第三方物流代为配送，</w:t>
      </w:r>
      <w:r>
        <w:rPr>
          <w:rFonts w:hint="eastAsia" w:cs="宋体" w:asciiTheme="minorEastAsia" w:hAnsiTheme="minorEastAsia" w:eastAsiaTheme="minorEastAsia"/>
          <w:b/>
          <w:color w:val="auto"/>
          <w:sz w:val="28"/>
          <w:szCs w:val="28"/>
          <w:highlight w:val="none"/>
        </w:rPr>
        <w:t>二次仓储操作及</w:t>
      </w:r>
      <w:r>
        <w:rPr>
          <w:rFonts w:hint="eastAsia" w:asciiTheme="minorEastAsia" w:hAnsiTheme="minorEastAsia" w:eastAsiaTheme="minorEastAsia"/>
          <w:b/>
          <w:color w:val="auto"/>
          <w:sz w:val="28"/>
          <w:szCs w:val="28"/>
          <w:highlight w:val="none"/>
        </w:rPr>
        <w:t>配送费用由中标供应商直接向第三方物流支付。第三方物流</w:t>
      </w:r>
      <w:r>
        <w:rPr>
          <w:rFonts w:hint="eastAsia" w:cs="宋体" w:asciiTheme="minorEastAsia" w:hAnsiTheme="minorEastAsia" w:eastAsiaTheme="minorEastAsia"/>
          <w:b/>
          <w:color w:val="auto"/>
          <w:sz w:val="28"/>
          <w:szCs w:val="28"/>
          <w:highlight w:val="none"/>
        </w:rPr>
        <w:t>二次仓储操作及</w:t>
      </w:r>
      <w:r>
        <w:rPr>
          <w:rFonts w:hint="eastAsia" w:asciiTheme="minorEastAsia" w:hAnsiTheme="minorEastAsia" w:eastAsiaTheme="minorEastAsia"/>
          <w:b/>
          <w:color w:val="auto"/>
          <w:sz w:val="28"/>
          <w:szCs w:val="28"/>
          <w:highlight w:val="none"/>
        </w:rPr>
        <w:t>配送费用标准为：</w:t>
      </w:r>
      <w:r>
        <w:rPr>
          <w:rFonts w:hint="eastAsia" w:cs="宋体" w:asciiTheme="minorEastAsia" w:hAnsiTheme="minorEastAsia" w:eastAsiaTheme="minorEastAsia"/>
          <w:b/>
          <w:bCs/>
          <w:color w:val="auto"/>
          <w:sz w:val="28"/>
          <w:szCs w:val="28"/>
          <w:highlight w:val="none"/>
        </w:rPr>
        <w:t>二次配送费用为</w:t>
      </w:r>
      <w:r>
        <w:rPr>
          <w:rFonts w:cs="宋体" w:asciiTheme="minorEastAsia" w:hAnsiTheme="minorEastAsia" w:eastAsiaTheme="minorEastAsia"/>
          <w:b/>
          <w:bCs/>
          <w:color w:val="auto"/>
          <w:sz w:val="28"/>
          <w:szCs w:val="28"/>
          <w:highlight w:val="none"/>
        </w:rPr>
        <w:t>22元/台，仓储操作费8元/台。</w:t>
      </w:r>
      <w:r>
        <w:rPr>
          <w:rFonts w:cs="宋体" w:asciiTheme="minorEastAsia" w:hAnsiTheme="minorEastAsia" w:eastAsiaTheme="minorEastAsia"/>
          <w:color w:val="auto"/>
          <w:sz w:val="28"/>
          <w:szCs w:val="28"/>
          <w:highlight w:val="none"/>
        </w:rPr>
        <w:t xml:space="preserve"> </w:t>
      </w:r>
    </w:p>
    <w:p w14:paraId="154139CA">
      <w:pPr>
        <w:spacing w:line="360" w:lineRule="auto"/>
        <w:ind w:firstLine="562"/>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若中标供应商未向第三方物流支付</w:t>
      </w:r>
      <w:r>
        <w:rPr>
          <w:rFonts w:hint="eastAsia" w:cs="宋体" w:asciiTheme="minorEastAsia" w:hAnsiTheme="minorEastAsia" w:eastAsiaTheme="minorEastAsia"/>
          <w:b/>
          <w:color w:val="auto"/>
          <w:sz w:val="28"/>
          <w:szCs w:val="28"/>
          <w:highlight w:val="none"/>
        </w:rPr>
        <w:t>二次仓储操作及</w:t>
      </w:r>
      <w:r>
        <w:rPr>
          <w:rFonts w:hint="eastAsia" w:asciiTheme="minorEastAsia" w:hAnsiTheme="minorEastAsia" w:eastAsiaTheme="minorEastAsia"/>
          <w:b/>
          <w:color w:val="auto"/>
          <w:sz w:val="28"/>
          <w:szCs w:val="28"/>
          <w:highlight w:val="none"/>
        </w:rPr>
        <w:t>配送费用的，采购单位将代为支付，并从未付中标供应商款项中扣除。</w:t>
      </w:r>
    </w:p>
    <w:p w14:paraId="79E6FD4F">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*5、合同签订之日每三个月，采购单位可根据市场行情变化，与中标供应商就产品单价进行重新谈判。</w:t>
      </w:r>
    </w:p>
    <w:p w14:paraId="07A10979">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*6、投标人承诺同意在供货期间，</w:t>
      </w:r>
      <w:r>
        <w:rPr>
          <w:rFonts w:hint="eastAsia" w:asciiTheme="minorEastAsia" w:hAnsiTheme="minorEastAsia" w:eastAsiaTheme="minorEastAsia"/>
          <w:b/>
          <w:color w:val="auto"/>
          <w:sz w:val="28"/>
          <w:szCs w:val="28"/>
          <w:highlight w:val="none"/>
        </w:rPr>
        <w:t>遇合同型号价格下调，中标供应商应在</w:t>
      </w:r>
      <w:r>
        <w:rPr>
          <w:rFonts w:asciiTheme="minorEastAsia" w:hAnsiTheme="minorEastAsia" w:eastAsiaTheme="minorEastAsia"/>
          <w:b/>
          <w:color w:val="auto"/>
          <w:sz w:val="28"/>
          <w:szCs w:val="28"/>
          <w:highlight w:val="none"/>
        </w:rPr>
        <w:t>2个工作日内将新的价格以书面形式告知采购单位，经采购单位确认后按最新价格进行供货并结算。一旦采购单位发现合同单价高于其它同类销售渠道或主流网站（京东、苏宁易购、易迅、1号店、天猫）等的常规销售价格，采购单位有权要求中标供应</w:t>
      </w:r>
      <w:r>
        <w:rPr>
          <w:rFonts w:hint="eastAsia" w:asciiTheme="minorEastAsia" w:hAnsiTheme="minorEastAsia" w:eastAsiaTheme="minorEastAsia"/>
          <w:b/>
          <w:color w:val="auto"/>
          <w:sz w:val="28"/>
          <w:szCs w:val="28"/>
          <w:highlight w:val="none"/>
        </w:rPr>
        <w:t>商调低合同货物的价格至少</w:t>
      </w:r>
      <w:r>
        <w:rPr>
          <w:rFonts w:asciiTheme="minorEastAsia" w:hAnsiTheme="minorEastAsia" w:eastAsiaTheme="minorEastAsia"/>
          <w:b/>
          <w:color w:val="auto"/>
          <w:sz w:val="28"/>
          <w:szCs w:val="28"/>
          <w:highlight w:val="none"/>
        </w:rPr>
        <w:t>5%</w:t>
      </w:r>
      <w:r>
        <w:rPr>
          <w:rFonts w:hint="eastAsia" w:asciiTheme="minorEastAsia" w:hAnsiTheme="minorEastAsia" w:eastAsiaTheme="minorEastAsia"/>
          <w:b/>
          <w:color w:val="auto"/>
          <w:sz w:val="28"/>
          <w:szCs w:val="28"/>
          <w:highlight w:val="none"/>
        </w:rPr>
        <w:t>，如中标供应商拒绝调整或双方就价格调整无法协商一致的，中标供应商应按逾期天数，每日承担相当于履约保证金金额</w:t>
      </w:r>
      <w:r>
        <w:rPr>
          <w:rFonts w:asciiTheme="minorEastAsia" w:hAnsiTheme="minorEastAsia" w:eastAsiaTheme="minorEastAsia"/>
          <w:b/>
          <w:color w:val="auto"/>
          <w:sz w:val="28"/>
          <w:szCs w:val="28"/>
          <w:highlight w:val="none"/>
        </w:rPr>
        <w:t>0.5%的违约金，同时采购单位有权终止本合同，</w:t>
      </w:r>
      <w:r>
        <w:rPr>
          <w:rFonts w:hint="eastAsia" w:asciiTheme="minorEastAsia" w:hAnsiTheme="minorEastAsia" w:eastAsiaTheme="minorEastAsia"/>
          <w:b/>
          <w:color w:val="auto"/>
          <w:sz w:val="28"/>
          <w:szCs w:val="28"/>
          <w:highlight w:val="none"/>
        </w:rPr>
        <w:t>不视为采购单位违约。</w:t>
      </w:r>
    </w:p>
    <w:p w14:paraId="1BA37E02">
      <w:pPr>
        <w:spacing w:line="360" w:lineRule="auto"/>
        <w:jc w:val="left"/>
        <w:rPr>
          <w:rFonts w:asciiTheme="minorEastAsia" w:hAnsiTheme="minorEastAsia" w:eastAsiaTheme="minorEastAsia"/>
          <w:b/>
          <w:color w:val="auto"/>
          <w:sz w:val="28"/>
          <w:szCs w:val="28"/>
          <w:highlight w:val="none"/>
        </w:rPr>
      </w:pPr>
    </w:p>
    <w:p w14:paraId="73A05A46">
      <w:pPr>
        <w:spacing w:line="360" w:lineRule="auto"/>
        <w:jc w:val="left"/>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七、其他要求及说明</w:t>
      </w:r>
    </w:p>
    <w:p w14:paraId="54A41389">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*1、投标人须在投标文件中明确</w:t>
      </w:r>
      <w:r>
        <w:rPr>
          <w:rFonts w:hint="eastAsia" w:asciiTheme="minorEastAsia" w:hAnsiTheme="minorEastAsia" w:eastAsiaTheme="minorEastAsia"/>
          <w:b/>
          <w:color w:val="auto"/>
          <w:sz w:val="28"/>
          <w:szCs w:val="28"/>
          <w:highlight w:val="none"/>
        </w:rPr>
        <w:t>作出如下承诺：投标人承诺接受《采购合同》中《服务考核细则》对其的考核并同意按考核情况处理。</w:t>
      </w:r>
    </w:p>
    <w:p w14:paraId="43D33A75">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*2、采购单位付款时，中标供应商应提供一般纳税人的增值税专用发票（包括采购单位需支付中标供应商的所有费用，例如安装费用等）；否则，采购单位有权拒绝支付相应款项。</w:t>
      </w:r>
    </w:p>
    <w:p w14:paraId="73181853">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*3、投标人承诺，如获中标将配合采购单位及产品检验检测机构进行投标产品的检验检测，产品检验检测产生的一切相关费用由中标供应商承担。</w:t>
      </w:r>
    </w:p>
    <w:p w14:paraId="25FFACE5">
      <w:pPr>
        <w:spacing w:line="360" w:lineRule="auto"/>
        <w:ind w:firstLine="562" w:firstLineChars="200"/>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*4、</w:t>
      </w:r>
      <w:r>
        <w:rPr>
          <w:rFonts w:hint="eastAsia" w:asciiTheme="minorEastAsia" w:hAnsiTheme="minorEastAsia" w:eastAsiaTheme="minorEastAsia"/>
          <w:b/>
          <w:color w:val="auto"/>
          <w:sz w:val="28"/>
          <w:szCs w:val="28"/>
          <w:highlight w:val="none"/>
        </w:rPr>
        <w:t>中标服务费与履约保证金：本项目中标服务费按每批次《定货单》金额的收费标准收取，中标供应商最迟在采购单位发出《定货单》之日起</w:t>
      </w:r>
      <w:r>
        <w:rPr>
          <w:rFonts w:asciiTheme="minorEastAsia" w:hAnsiTheme="minorEastAsia" w:eastAsiaTheme="minorEastAsia"/>
          <w:b/>
          <w:color w:val="auto"/>
          <w:sz w:val="28"/>
          <w:szCs w:val="28"/>
          <w:highlight w:val="none"/>
        </w:rPr>
        <w:t>10个工作日内向招标代理机构缴交中标服务费。中标服务费的收取按差额定率累进法计算,由中标供应商支付，中标服务费按每个《定货单》金额分别收取，《定货单》金额不予累加。</w:t>
      </w:r>
    </w:p>
    <w:p w14:paraId="21B64D6E">
      <w:pPr>
        <w:widowControl/>
        <w:spacing w:line="360" w:lineRule="auto"/>
        <w:ind w:firstLine="560"/>
        <w:jc w:val="left"/>
        <w:rPr>
          <w:rFonts w:cs="宋体" w:asciiTheme="minorEastAsia" w:hAnsiTheme="minorEastAsia" w:eastAsiaTheme="minorEastAsia"/>
          <w:b/>
          <w:color w:val="auto"/>
          <w:sz w:val="28"/>
          <w:szCs w:val="28"/>
          <w:highlight w:val="none"/>
        </w:rPr>
      </w:pPr>
      <w:r>
        <w:rPr>
          <w:rFonts w:hint="eastAsia" w:cs="仿宋" w:asciiTheme="minorEastAsia" w:hAnsiTheme="minorEastAsia" w:eastAsiaTheme="minorEastAsia"/>
          <w:b/>
          <w:color w:val="auto"/>
          <w:sz w:val="28"/>
          <w:szCs w:val="28"/>
          <w:highlight w:val="none"/>
        </w:rPr>
        <w:t>中标供应商应在合同签订之日起</w:t>
      </w:r>
      <w:r>
        <w:rPr>
          <w:rFonts w:cs="仿宋" w:asciiTheme="minorEastAsia" w:hAnsiTheme="minorEastAsia" w:eastAsiaTheme="minorEastAsia"/>
          <w:b/>
          <w:color w:val="auto"/>
          <w:sz w:val="28"/>
          <w:szCs w:val="28"/>
          <w:highlight w:val="none"/>
        </w:rPr>
        <w:t>7个日历日内向采购单位提供中标/成交总金额5%的履约保证金。其中2.5%作为供货履约保证金，于本合同有效期满后最后</w:t>
      </w:r>
      <w:r>
        <w:rPr>
          <w:rFonts w:hint="eastAsia" w:cs="仿宋" w:asciiTheme="minorEastAsia" w:hAnsiTheme="minorEastAsia" w:eastAsiaTheme="minorEastAsia"/>
          <w:b/>
          <w:color w:val="auto"/>
          <w:sz w:val="28"/>
          <w:szCs w:val="28"/>
          <w:highlight w:val="none"/>
        </w:rPr>
        <w:t>一批次货物供货后</w:t>
      </w:r>
      <w:r>
        <w:rPr>
          <w:rFonts w:cs="仿宋" w:asciiTheme="minorEastAsia" w:hAnsiTheme="minorEastAsia" w:eastAsiaTheme="minorEastAsia"/>
          <w:b/>
          <w:color w:val="auto"/>
          <w:sz w:val="28"/>
          <w:szCs w:val="28"/>
          <w:highlight w:val="none"/>
        </w:rPr>
        <w:t>20个工作日内一次性无息付清（扣除相应的违约金、赔偿金）。2.5%作为售后履约</w:t>
      </w:r>
      <w:r>
        <w:rPr>
          <w:rFonts w:hint="eastAsia" w:cs="仿宋" w:asciiTheme="minorEastAsia" w:hAnsiTheme="minorEastAsia" w:eastAsiaTheme="minorEastAsia"/>
          <w:b/>
          <w:color w:val="auto"/>
          <w:sz w:val="28"/>
          <w:szCs w:val="28"/>
          <w:highlight w:val="none"/>
        </w:rPr>
        <w:t>保证金待本合同有效期内最后一批次货物保修期届满后</w:t>
      </w:r>
      <w:r>
        <w:rPr>
          <w:rFonts w:cs="仿宋" w:asciiTheme="minorEastAsia" w:hAnsiTheme="minorEastAsia" w:eastAsiaTheme="minorEastAsia"/>
          <w:b/>
          <w:color w:val="auto"/>
          <w:sz w:val="28"/>
          <w:szCs w:val="28"/>
          <w:highlight w:val="none"/>
        </w:rPr>
        <w:t>20个工作日内一次性无息付清（扣除相应的违约金、赔偿金）。</w:t>
      </w:r>
    </w:p>
    <w:p w14:paraId="620AB255">
      <w:pPr>
        <w:widowControl/>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*5、</w:t>
      </w:r>
      <w:r>
        <w:rPr>
          <w:rFonts w:hint="eastAsia" w:asciiTheme="minorEastAsia" w:hAnsiTheme="minorEastAsia" w:eastAsiaTheme="minorEastAsia"/>
          <w:b/>
          <w:color w:val="auto"/>
          <w:sz w:val="28"/>
          <w:szCs w:val="28"/>
          <w:highlight w:val="none"/>
        </w:rPr>
        <w:t>投标人承诺同意免费提供品目号</w:t>
      </w:r>
      <w:r>
        <w:rPr>
          <w:rFonts w:asciiTheme="minorEastAsia" w:hAnsiTheme="minorEastAsia" w:eastAsiaTheme="minorEastAsia"/>
          <w:b/>
          <w:color w:val="auto"/>
          <w:sz w:val="28"/>
          <w:szCs w:val="28"/>
          <w:highlight w:val="none"/>
        </w:rPr>
        <w:t>1-1号5</w:t>
      </w:r>
      <w:r>
        <w:rPr>
          <w:rFonts w:hint="eastAsia" w:asciiTheme="minorEastAsia" w:hAnsiTheme="minorEastAsia" w:eastAsiaTheme="minorEastAsia"/>
          <w:b/>
          <w:color w:val="auto"/>
          <w:sz w:val="28"/>
          <w:szCs w:val="28"/>
          <w:highlight w:val="none"/>
        </w:rPr>
        <w:t>台；品目</w:t>
      </w:r>
      <w:r>
        <w:rPr>
          <w:rFonts w:asciiTheme="minorEastAsia" w:hAnsiTheme="minorEastAsia" w:eastAsiaTheme="minorEastAsia"/>
          <w:b/>
          <w:color w:val="auto"/>
          <w:sz w:val="28"/>
          <w:szCs w:val="28"/>
          <w:highlight w:val="none"/>
        </w:rPr>
        <w:t>1-2号 2</w:t>
      </w:r>
      <w:r>
        <w:rPr>
          <w:rFonts w:hint="eastAsia" w:asciiTheme="minorEastAsia" w:hAnsiTheme="minorEastAsia" w:eastAsiaTheme="minorEastAsia"/>
          <w:b/>
          <w:color w:val="auto"/>
          <w:sz w:val="28"/>
          <w:szCs w:val="28"/>
          <w:highlight w:val="none"/>
        </w:rPr>
        <w:t>台；品目号</w:t>
      </w:r>
      <w:r>
        <w:rPr>
          <w:rFonts w:asciiTheme="minorEastAsia" w:hAnsiTheme="minorEastAsia" w:eastAsiaTheme="minorEastAsia"/>
          <w:b/>
          <w:color w:val="auto"/>
          <w:sz w:val="28"/>
          <w:szCs w:val="28"/>
          <w:highlight w:val="none"/>
        </w:rPr>
        <w:t>1-3号2</w:t>
      </w:r>
      <w:r>
        <w:rPr>
          <w:rFonts w:hint="eastAsia" w:asciiTheme="minorEastAsia" w:hAnsiTheme="minorEastAsia" w:eastAsiaTheme="minorEastAsia"/>
          <w:b/>
          <w:color w:val="auto"/>
          <w:sz w:val="28"/>
          <w:szCs w:val="28"/>
          <w:highlight w:val="none"/>
        </w:rPr>
        <w:t>台；品目号</w:t>
      </w:r>
      <w:r>
        <w:rPr>
          <w:rFonts w:asciiTheme="minorEastAsia" w:hAnsiTheme="minorEastAsia" w:eastAsiaTheme="minorEastAsia"/>
          <w:b/>
          <w:color w:val="auto"/>
          <w:sz w:val="28"/>
          <w:szCs w:val="28"/>
          <w:highlight w:val="none"/>
        </w:rPr>
        <w:t>1-4号2</w:t>
      </w:r>
      <w:r>
        <w:rPr>
          <w:rFonts w:hint="eastAsia" w:asciiTheme="minorEastAsia" w:hAnsiTheme="minorEastAsia" w:eastAsiaTheme="minorEastAsia"/>
          <w:b/>
          <w:color w:val="auto"/>
          <w:sz w:val="28"/>
          <w:szCs w:val="28"/>
          <w:highlight w:val="none"/>
        </w:rPr>
        <w:t>台给予采购单位作为备用机，且于中标后第一次供货时一并提供，质保期满后备用机不再收回。</w:t>
      </w:r>
    </w:p>
    <w:p w14:paraId="5F2D1BBD">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6、投标人须在投标文件中明确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投标报价有效期为半年。</w:t>
      </w:r>
    </w:p>
    <w:p w14:paraId="011370AB">
      <w:pPr>
        <w:shd w:val="clear" w:color="auto" w:fill="FFFFFF"/>
        <w:spacing w:line="360" w:lineRule="auto"/>
        <w:ind w:firstLine="562" w:firstLineChars="200"/>
        <w:rPr>
          <w:rFonts w:asciiTheme="minorEastAsia" w:hAnsiTheme="minorEastAsia" w:eastAsiaTheme="minorEastAsia"/>
          <w:b/>
          <w:color w:val="auto"/>
          <w:sz w:val="28"/>
          <w:szCs w:val="28"/>
          <w:highlight w:val="none"/>
        </w:rPr>
      </w:pPr>
      <w:r>
        <w:rPr>
          <w:rFonts w:cs="微软雅黑" w:asciiTheme="minorEastAsia" w:hAnsiTheme="minorEastAsia" w:eastAsiaTheme="minorEastAsia"/>
          <w:b/>
          <w:bCs/>
          <w:color w:val="auto"/>
          <w:sz w:val="28"/>
          <w:szCs w:val="28"/>
          <w:highlight w:val="none"/>
        </w:rPr>
        <w:t>*</w:t>
      </w:r>
      <w:r>
        <w:rPr>
          <w:rFonts w:hint="eastAsia" w:cs="微软雅黑" w:asciiTheme="minorEastAsia" w:hAnsiTheme="minorEastAsia" w:eastAsiaTheme="minorEastAsia"/>
          <w:b/>
          <w:bCs/>
          <w:color w:val="auto"/>
          <w:sz w:val="28"/>
          <w:szCs w:val="28"/>
          <w:highlight w:val="none"/>
        </w:rPr>
        <w:t>7、针对本项目招标文件中第二章中的“技术评分”条款及第三章中“</w:t>
      </w:r>
      <w:r>
        <w:rPr>
          <w:rFonts w:cs="微软雅黑" w:asciiTheme="minorEastAsia" w:hAnsiTheme="minorEastAsia" w:eastAsiaTheme="minorEastAsia"/>
          <w:b/>
          <w:bCs/>
          <w:color w:val="auto"/>
          <w:sz w:val="28"/>
          <w:szCs w:val="28"/>
          <w:highlight w:val="none"/>
        </w:rPr>
        <w:t>二</w:t>
      </w:r>
      <w:r>
        <w:rPr>
          <w:rFonts w:hint="eastAsia" w:cs="微软雅黑" w:asciiTheme="minorEastAsia" w:hAnsiTheme="minorEastAsia" w:eastAsiaTheme="minorEastAsia"/>
          <w:b/>
          <w:bCs/>
          <w:color w:val="auto"/>
          <w:sz w:val="28"/>
          <w:szCs w:val="28"/>
          <w:highlight w:val="none"/>
        </w:rPr>
        <w:t>、</w:t>
      </w:r>
      <w:r>
        <w:rPr>
          <w:rFonts w:hint="eastAsia" w:asciiTheme="minorEastAsia" w:hAnsiTheme="minorEastAsia" w:eastAsiaTheme="minorEastAsia"/>
          <w:b/>
          <w:color w:val="auto"/>
          <w:sz w:val="28"/>
          <w:szCs w:val="28"/>
          <w:highlight w:val="none"/>
        </w:rPr>
        <w:t>主要技术参数及要求</w:t>
      </w:r>
      <w:r>
        <w:rPr>
          <w:rFonts w:hint="eastAsia" w:cs="微软雅黑" w:asciiTheme="minorEastAsia" w:hAnsiTheme="minorEastAsia" w:eastAsiaTheme="minorEastAsia"/>
          <w:b/>
          <w:bCs/>
          <w:color w:val="auto"/>
          <w:sz w:val="28"/>
          <w:szCs w:val="28"/>
          <w:highlight w:val="none"/>
        </w:rPr>
        <w:t>”的</w:t>
      </w:r>
      <w:r>
        <w:rPr>
          <w:rFonts w:cs="微软雅黑" w:asciiTheme="minorEastAsia" w:hAnsiTheme="minorEastAsia" w:eastAsiaTheme="minorEastAsia"/>
          <w:b/>
          <w:bCs/>
          <w:color w:val="auto"/>
          <w:sz w:val="28"/>
          <w:szCs w:val="28"/>
          <w:highlight w:val="none"/>
        </w:rPr>
        <w:t>*</w:t>
      </w:r>
      <w:r>
        <w:rPr>
          <w:rFonts w:hint="eastAsia" w:cs="微软雅黑" w:asciiTheme="minorEastAsia" w:hAnsiTheme="minorEastAsia" w:eastAsiaTheme="minorEastAsia"/>
          <w:b/>
          <w:bCs/>
          <w:color w:val="auto"/>
          <w:sz w:val="28"/>
          <w:szCs w:val="28"/>
          <w:highlight w:val="none"/>
        </w:rPr>
        <w:t>号技术参数，投标人需提供产品彩页或所投标品牌的国内或国外官方网站体现该投标型号对应的规格参数的网页截图复印件或说明书予以证明（加盖投标人公章，以上证明文件若出现参数不一致情况下，投标人须自行承担不利评审后果）。若投标人为联合体投标的，联合体中的一方盖章即可。</w:t>
      </w:r>
    </w:p>
    <w:p w14:paraId="18A61362">
      <w:pPr>
        <w:shd w:val="clear" w:color="auto" w:fill="FFFFFF"/>
        <w:spacing w:line="360" w:lineRule="auto"/>
        <w:ind w:firstLine="562" w:firstLineChars="200"/>
        <w:rPr>
          <w:rFonts w:cs="微软雅黑" w:asciiTheme="minorEastAsia" w:hAnsiTheme="minorEastAsia" w:eastAsiaTheme="minorEastAsia"/>
          <w:b/>
          <w:bCs/>
          <w:color w:val="auto"/>
          <w:sz w:val="28"/>
          <w:szCs w:val="28"/>
          <w:highlight w:val="none"/>
        </w:rPr>
      </w:pPr>
      <w:r>
        <w:rPr>
          <w:rFonts w:cs="微软雅黑" w:asciiTheme="minorEastAsia" w:hAnsiTheme="minorEastAsia" w:eastAsiaTheme="minorEastAsia"/>
          <w:b/>
          <w:bCs/>
          <w:color w:val="auto"/>
          <w:sz w:val="28"/>
          <w:szCs w:val="28"/>
          <w:highlight w:val="none"/>
        </w:rPr>
        <w:t>*</w:t>
      </w:r>
      <w:r>
        <w:rPr>
          <w:rFonts w:hint="eastAsia" w:cs="微软雅黑" w:asciiTheme="minorEastAsia" w:hAnsiTheme="minorEastAsia" w:eastAsiaTheme="minorEastAsia"/>
          <w:b/>
          <w:bCs/>
          <w:color w:val="auto"/>
          <w:sz w:val="28"/>
          <w:szCs w:val="28"/>
          <w:highlight w:val="none"/>
        </w:rPr>
        <w:t>8、投标人应在投标文件中提供书面承诺：保证所提供加盖投标人公章的产品彩页或所投标品牌的国内或国外官方网站体现该投标型号对应的规格参数的网页截图复印件与所投标品牌市面流通的同一品牌同一型号产品设备（该产品设备可由采购单位从市场上自行购买）内附说明书或光盘信息所体现的规格参数一致，若出现不一致的情形视为虚假应标。若本项目采购合同已签订的，在合同签订后的</w:t>
      </w:r>
      <w:r>
        <w:rPr>
          <w:rFonts w:cs="微软雅黑" w:asciiTheme="minorEastAsia" w:hAnsiTheme="minorEastAsia" w:eastAsiaTheme="minorEastAsia"/>
          <w:b/>
          <w:bCs/>
          <w:color w:val="auto"/>
          <w:sz w:val="28"/>
          <w:szCs w:val="28"/>
          <w:highlight w:val="none"/>
        </w:rPr>
        <w:t>60个日历日内，采购单位有权单方面解除合同，没收全部履约保证金并且有权与第二位中标候选供应商签订合同，同时接受采购单位拒绝中标供应商参与下一年度大宗</w:t>
      </w:r>
      <w:r>
        <w:rPr>
          <w:rFonts w:hint="eastAsia" w:cs="微软雅黑" w:asciiTheme="minorEastAsia" w:hAnsiTheme="minorEastAsia" w:eastAsiaTheme="minorEastAsia"/>
          <w:b/>
          <w:bCs/>
          <w:color w:val="auto"/>
          <w:sz w:val="28"/>
          <w:szCs w:val="28"/>
          <w:highlight w:val="none"/>
        </w:rPr>
        <w:t>高拍仪项目的投标。投标人应对此条款无异议并在投标文件中提供书面承诺。</w:t>
      </w:r>
    </w:p>
    <w:p w14:paraId="1FBF1600">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w:t>
      </w:r>
      <w:r>
        <w:rPr>
          <w:rFonts w:hint="eastAsia" w:asciiTheme="minorEastAsia" w:hAnsiTheme="minorEastAsia" w:eastAsiaTheme="minorEastAsia"/>
          <w:b/>
          <w:color w:val="auto"/>
          <w:sz w:val="28"/>
          <w:szCs w:val="28"/>
          <w:highlight w:val="none"/>
        </w:rPr>
        <w:t>9、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接给予扣除。</w:t>
      </w:r>
    </w:p>
    <w:p w14:paraId="41BC04DE">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0、投标人承诺若中标，将确保任何产品型号在供货期内能够满足采购单位的需求；若出现中标型号升级、变更或者停产的情况，应至少提前一个月书面通知采购单位相关信息（包括其升级产品型号、部件及详细配置方案），经采购单位书面同意后方可按升级后的产品（或配件）供货，价格按中标单价执行，交货时间按原投标承诺的时间执行。若在合同期内中标人有任何产品型号或配件停产且无法提供符合采购单位要求的升级型号或配件则视为严重违约，中标人应按每款机型</w:t>
      </w:r>
      <w:r>
        <w:rPr>
          <w:rFonts w:asciiTheme="minorEastAsia" w:hAnsiTheme="minorEastAsia" w:eastAsiaTheme="minorEastAsia"/>
          <w:b/>
          <w:color w:val="auto"/>
          <w:sz w:val="28"/>
          <w:szCs w:val="28"/>
          <w:highlight w:val="none"/>
        </w:rPr>
        <w:t>20000元向</w:t>
      </w:r>
      <w:r>
        <w:rPr>
          <w:rFonts w:hint="eastAsia" w:asciiTheme="minorEastAsia" w:hAnsiTheme="minorEastAsia" w:eastAsiaTheme="minorEastAsia"/>
          <w:b/>
          <w:color w:val="auto"/>
          <w:sz w:val="28"/>
          <w:szCs w:val="28"/>
          <w:highlight w:val="none"/>
        </w:rPr>
        <w:t>采购单位缴纳违约金，采购单位有权单方面解除采购合同，没收履约保证金并且有权与中标人之后第一位的中标候选供应商签订合同。</w:t>
      </w:r>
    </w:p>
    <w:p w14:paraId="37ECC4A4">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1、投标人承诺，若中标，其与采购单位之间发生的一切费用均以人民币进行结算及支付；采购单位可以通过银行转账的形式进行支付。</w:t>
      </w:r>
    </w:p>
    <w:p w14:paraId="59B64502">
      <w:pPr>
        <w:spacing w:line="360" w:lineRule="auto"/>
        <w:ind w:firstLine="562" w:firstLineChars="200"/>
        <w:jc w:val="left"/>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2、投标有效期：投标截止之日起</w:t>
      </w:r>
      <w:r>
        <w:rPr>
          <w:rFonts w:asciiTheme="minorEastAsia" w:hAnsiTheme="minorEastAsia" w:eastAsiaTheme="minorEastAsia"/>
          <w:b/>
          <w:color w:val="auto"/>
          <w:sz w:val="28"/>
          <w:szCs w:val="28"/>
          <w:highlight w:val="none"/>
          <w:u w:val="single"/>
        </w:rPr>
        <w:t>180</w:t>
      </w:r>
      <w:r>
        <w:rPr>
          <w:rFonts w:hint="eastAsia" w:asciiTheme="minorEastAsia" w:hAnsiTheme="minorEastAsia" w:eastAsiaTheme="minorEastAsia"/>
          <w:b/>
          <w:color w:val="auto"/>
          <w:sz w:val="28"/>
          <w:szCs w:val="28"/>
          <w:highlight w:val="none"/>
        </w:rPr>
        <w:t>个日历日。</w:t>
      </w:r>
    </w:p>
    <w:p w14:paraId="33E0FF51">
      <w:pPr>
        <w:spacing w:line="360" w:lineRule="auto"/>
        <w:ind w:firstLine="599" w:firstLineChars="213"/>
        <w:rPr>
          <w:rFonts w:cs="宋体"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3、</w:t>
      </w:r>
      <w:r>
        <w:rPr>
          <w:rFonts w:hint="eastAsia" w:cs="宋体" w:asciiTheme="minorEastAsia" w:hAnsiTheme="minorEastAsia" w:eastAsiaTheme="minorEastAsia"/>
          <w:b/>
          <w:bCs/>
          <w:color w:val="auto"/>
          <w:sz w:val="28"/>
          <w:szCs w:val="28"/>
          <w:highlight w:val="none"/>
        </w:rPr>
        <w:t>投标人承诺，在合同期内，同一机型维修次数超过</w:t>
      </w:r>
      <w:r>
        <w:rPr>
          <w:rFonts w:cs="宋体" w:asciiTheme="minorEastAsia" w:hAnsiTheme="minorEastAsia" w:eastAsiaTheme="minorEastAsia"/>
          <w:b/>
          <w:bCs/>
          <w:color w:val="auto"/>
          <w:sz w:val="28"/>
          <w:szCs w:val="28"/>
          <w:highlight w:val="none"/>
        </w:rPr>
        <w:t>2次，需免费更换同一型号新机，人为损坏除外。</w:t>
      </w:r>
    </w:p>
    <w:p w14:paraId="51457CE4">
      <w:pPr>
        <w:spacing w:line="360" w:lineRule="auto"/>
        <w:ind w:firstLine="599" w:firstLineChars="213"/>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4、投标人承诺，产品在每年</w:t>
      </w:r>
      <w:r>
        <w:rPr>
          <w:rFonts w:asciiTheme="minorEastAsia" w:hAnsiTheme="minorEastAsia" w:eastAsiaTheme="minorEastAsia"/>
          <w:b/>
          <w:color w:val="auto"/>
          <w:sz w:val="28"/>
          <w:szCs w:val="28"/>
          <w:highlight w:val="none"/>
        </w:rPr>
        <w:t>6月-8月申领高峰期，必须按照要求供货，如出现供货逾期的情况，处罚金额为100元/台*</w:t>
      </w:r>
      <w:r>
        <w:rPr>
          <w:rFonts w:hint="eastAsia" w:asciiTheme="minorEastAsia" w:hAnsiTheme="minorEastAsia" w:eastAsiaTheme="minorEastAsia"/>
          <w:b/>
          <w:color w:val="auto"/>
          <w:sz w:val="28"/>
          <w:szCs w:val="28"/>
          <w:highlight w:val="none"/>
        </w:rPr>
        <w:t>逾期供货天数</w:t>
      </w:r>
      <w:r>
        <w:rPr>
          <w:rFonts w:asciiTheme="minorEastAsia" w:hAnsiTheme="minorEastAsia" w:eastAsiaTheme="minorEastAsia"/>
          <w:b/>
          <w:color w:val="auto"/>
          <w:sz w:val="28"/>
          <w:szCs w:val="28"/>
          <w:highlight w:val="none"/>
        </w:rPr>
        <w:t>,如</w:t>
      </w:r>
      <w:r>
        <w:rPr>
          <w:rFonts w:hint="eastAsia" w:asciiTheme="minorEastAsia" w:hAnsiTheme="minorEastAsia" w:eastAsiaTheme="minorEastAsia"/>
          <w:b/>
          <w:color w:val="auto"/>
          <w:sz w:val="28"/>
          <w:szCs w:val="28"/>
          <w:highlight w:val="none"/>
        </w:rPr>
        <w:t>逾期供货天数≥</w:t>
      </w:r>
      <w:r>
        <w:rPr>
          <w:rFonts w:asciiTheme="minorEastAsia" w:hAnsiTheme="minorEastAsia" w:eastAsiaTheme="minorEastAsia"/>
          <w:b/>
          <w:color w:val="auto"/>
          <w:sz w:val="28"/>
          <w:szCs w:val="28"/>
          <w:highlight w:val="none"/>
        </w:rPr>
        <w:t>10天，罚款金额为200元/台*（</w:t>
      </w:r>
      <w:r>
        <w:rPr>
          <w:rFonts w:hint="eastAsia" w:asciiTheme="minorEastAsia" w:hAnsiTheme="minorEastAsia" w:eastAsiaTheme="minorEastAsia"/>
          <w:b/>
          <w:color w:val="auto"/>
          <w:sz w:val="28"/>
          <w:szCs w:val="28"/>
          <w:highlight w:val="none"/>
        </w:rPr>
        <w:t>逾期供货天数</w:t>
      </w:r>
      <w:r>
        <w:rPr>
          <w:rFonts w:asciiTheme="minorEastAsia" w:hAnsiTheme="minorEastAsia" w:eastAsiaTheme="minorEastAsia"/>
          <w:b/>
          <w:color w:val="auto"/>
          <w:sz w:val="28"/>
          <w:szCs w:val="28"/>
          <w:highlight w:val="none"/>
        </w:rPr>
        <w:t>-10）。</w:t>
      </w:r>
    </w:p>
    <w:p w14:paraId="090721BC">
      <w:pPr>
        <w:spacing w:line="360" w:lineRule="auto"/>
        <w:ind w:firstLine="562" w:firstLineChars="200"/>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5、如最终使用单位数据线（标配</w:t>
      </w:r>
      <w:r>
        <w:rPr>
          <w:rFonts w:asciiTheme="minorEastAsia" w:hAnsiTheme="minorEastAsia" w:eastAsiaTheme="minorEastAsia"/>
          <w:b/>
          <w:color w:val="auto"/>
          <w:sz w:val="28"/>
          <w:szCs w:val="28"/>
          <w:highlight w:val="none"/>
        </w:rPr>
        <w:t>1.5米）不够，需免费提供保证设备可正常使用所需长度数据线，具体根据实际现场需求提供符合设备所需相应长度数据线（需提供整条数据线，不接受多条拼接线。)</w:t>
      </w:r>
    </w:p>
    <w:p w14:paraId="204271CC">
      <w:pPr>
        <w:spacing w:line="360" w:lineRule="auto"/>
        <w:ind w:firstLine="599" w:firstLineChars="213"/>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6、投标人承诺，如果中标，因投标人产品给采购单位造成的客诉，若投标人在接到采购单位通知后</w:t>
      </w:r>
      <w:r>
        <w:rPr>
          <w:rFonts w:asciiTheme="minorEastAsia" w:hAnsiTheme="minorEastAsia" w:eastAsiaTheme="minorEastAsia"/>
          <w:b/>
          <w:color w:val="auto"/>
          <w:sz w:val="28"/>
          <w:szCs w:val="28"/>
          <w:highlight w:val="none"/>
        </w:rPr>
        <w:t>3个日历日内无法解决客诉，</w:t>
      </w:r>
      <w:r>
        <w:rPr>
          <w:rFonts w:hint="eastAsia" w:asciiTheme="minorEastAsia" w:hAnsiTheme="minorEastAsia" w:eastAsiaTheme="minorEastAsia"/>
          <w:b/>
          <w:color w:val="auto"/>
          <w:sz w:val="28"/>
          <w:szCs w:val="28"/>
          <w:highlight w:val="none"/>
        </w:rPr>
        <w:t>采购单位有权自行解决客诉，并直接于投标人的履约保证金中扣除解决客诉所产生的费用。该条款可能造成的成本费用包含在投标人的产品报价中。如使用单位开箱后遇到设备与使用单位的软件不兼容的情况，中标供应商同意无条件退货。</w:t>
      </w:r>
    </w:p>
    <w:p w14:paraId="1ADE6572">
      <w:pPr>
        <w:spacing w:line="360" w:lineRule="auto"/>
        <w:ind w:firstLine="599" w:firstLineChars="213"/>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7、投标人承诺待合同终止后的</w:t>
      </w:r>
      <w:r>
        <w:rPr>
          <w:rFonts w:asciiTheme="minorEastAsia" w:hAnsiTheme="minorEastAsia" w:eastAsiaTheme="minorEastAsia"/>
          <w:b/>
          <w:color w:val="auto"/>
          <w:sz w:val="28"/>
          <w:szCs w:val="28"/>
          <w:highlight w:val="none"/>
        </w:rPr>
        <w:t>30天内根据</w:t>
      </w:r>
      <w:r>
        <w:rPr>
          <w:rFonts w:hint="eastAsia" w:asciiTheme="minorEastAsia" w:hAnsiTheme="minorEastAsia" w:eastAsiaTheme="minorEastAsia"/>
          <w:b/>
          <w:color w:val="auto"/>
          <w:sz w:val="28"/>
          <w:szCs w:val="28"/>
          <w:highlight w:val="none"/>
        </w:rPr>
        <w:t>采购单位要求按合同原中标价回购采购单位剩余的库存高拍仪产品且回购总金额不高于合同总金额的</w:t>
      </w:r>
      <w:r>
        <w:rPr>
          <w:rFonts w:asciiTheme="minorEastAsia" w:hAnsiTheme="minorEastAsia" w:eastAsiaTheme="minorEastAsia"/>
          <w:b/>
          <w:color w:val="auto"/>
          <w:sz w:val="28"/>
          <w:szCs w:val="28"/>
          <w:highlight w:val="none"/>
        </w:rPr>
        <w:t>3%，</w:t>
      </w:r>
      <w:r>
        <w:rPr>
          <w:rFonts w:hint="eastAsia" w:asciiTheme="minorEastAsia" w:hAnsiTheme="minorEastAsia" w:eastAsiaTheme="minorEastAsia"/>
          <w:b/>
          <w:color w:val="auto"/>
          <w:sz w:val="28"/>
          <w:szCs w:val="28"/>
          <w:highlight w:val="none"/>
        </w:rPr>
        <w:t>投标人回购的付款方式为先款后货。若投标人未在规定的期限内完成上述回购的，采购单位有权从投标人的货款或履约保证金中扣除相应的回购款项。</w:t>
      </w:r>
    </w:p>
    <w:p w14:paraId="0E3267F3">
      <w:pPr>
        <w:spacing w:line="360" w:lineRule="auto"/>
        <w:ind w:firstLine="562" w:firstLineChars="200"/>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*1</w:t>
      </w:r>
      <w:r>
        <w:rPr>
          <w:rFonts w:hint="eastAsia" w:asciiTheme="minorEastAsia" w:hAnsiTheme="minorEastAsia" w:eastAsiaTheme="minorEastAsia"/>
          <w:b/>
          <w:color w:val="auto"/>
          <w:sz w:val="28"/>
          <w:szCs w:val="28"/>
          <w:highlight w:val="none"/>
        </w:rPr>
        <w:t>8、品目号</w:t>
      </w:r>
      <w:r>
        <w:rPr>
          <w:rFonts w:asciiTheme="minorEastAsia" w:hAnsiTheme="minorEastAsia" w:eastAsiaTheme="minorEastAsia"/>
          <w:b/>
          <w:color w:val="auto"/>
          <w:sz w:val="28"/>
          <w:szCs w:val="28"/>
          <w:highlight w:val="none"/>
        </w:rPr>
        <w:t>1-1和1-2产品必须满足开机自动聚焦，达到最佳展示效果，不会随着光线环境变化物体移动而多次自动聚焦造成展示模糊，</w:t>
      </w:r>
      <w:r>
        <w:rPr>
          <w:rFonts w:hint="eastAsia" w:asciiTheme="minorEastAsia" w:hAnsiTheme="minorEastAsia" w:eastAsiaTheme="minorEastAsia"/>
          <w:b/>
          <w:color w:val="auto"/>
          <w:sz w:val="28"/>
          <w:szCs w:val="28"/>
          <w:highlight w:val="none"/>
        </w:rPr>
        <w:t>如展示不同高低大小物体，可以自由切换对焦方式达到最佳展示效果。</w:t>
      </w:r>
    </w:p>
    <w:p w14:paraId="1B3FFF53">
      <w:pPr>
        <w:spacing w:line="360" w:lineRule="auto"/>
        <w:ind w:firstLine="562" w:firstLineChars="200"/>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w:t>
      </w:r>
      <w:r>
        <w:rPr>
          <w:rFonts w:hint="eastAsia" w:asciiTheme="minorEastAsia" w:hAnsiTheme="minorEastAsia" w:eastAsiaTheme="minorEastAsia"/>
          <w:b/>
          <w:color w:val="auto"/>
          <w:sz w:val="28"/>
          <w:szCs w:val="28"/>
          <w:highlight w:val="none"/>
        </w:rPr>
        <w:t>19、付款方式与条件：货到且票到后</w:t>
      </w:r>
      <w:r>
        <w:rPr>
          <w:rFonts w:asciiTheme="minorEastAsia" w:hAnsiTheme="minorEastAsia" w:eastAsiaTheme="minorEastAsia"/>
          <w:b/>
          <w:color w:val="auto"/>
          <w:sz w:val="28"/>
          <w:szCs w:val="28"/>
          <w:highlight w:val="none"/>
        </w:rPr>
        <w:t>6个月内向</w:t>
      </w:r>
      <w:r>
        <w:rPr>
          <w:rFonts w:hint="eastAsia" w:asciiTheme="minorEastAsia" w:hAnsiTheme="minorEastAsia" w:eastAsiaTheme="minorEastAsia"/>
          <w:b/>
          <w:color w:val="auto"/>
          <w:sz w:val="28"/>
          <w:szCs w:val="28"/>
          <w:highlight w:val="none"/>
        </w:rPr>
        <w:t>中标供应商一次性支付该批次货款的</w:t>
      </w:r>
      <w:r>
        <w:rPr>
          <w:rFonts w:asciiTheme="minorEastAsia" w:hAnsiTheme="minorEastAsia" w:eastAsiaTheme="minorEastAsia"/>
          <w:b/>
          <w:color w:val="auto"/>
          <w:sz w:val="28"/>
          <w:szCs w:val="28"/>
          <w:highlight w:val="none"/>
        </w:rPr>
        <w:t>100%。</w:t>
      </w:r>
    </w:p>
    <w:p w14:paraId="31C84192">
      <w:pPr>
        <w:spacing w:line="360" w:lineRule="auto"/>
        <w:ind w:firstLine="562" w:firstLineChars="200"/>
        <w:jc w:val="left"/>
        <w:rPr>
          <w:rFonts w:cs="仿宋" w:asciiTheme="minorEastAsia" w:hAnsiTheme="minorEastAsia" w:eastAsiaTheme="minorEastAsia"/>
          <w:color w:val="auto"/>
          <w:sz w:val="28"/>
          <w:szCs w:val="28"/>
          <w:highlight w:val="none"/>
        </w:rPr>
      </w:pPr>
      <w:r>
        <w:rPr>
          <w:rFonts w:asciiTheme="minorEastAsia" w:hAnsiTheme="minorEastAsia" w:eastAsiaTheme="minorEastAsia"/>
          <w:b/>
          <w:color w:val="auto"/>
          <w:sz w:val="28"/>
          <w:szCs w:val="28"/>
          <w:highlight w:val="none"/>
        </w:rPr>
        <w:t>*2</w:t>
      </w:r>
      <w:r>
        <w:rPr>
          <w:rFonts w:hint="eastAsia" w:asciiTheme="minorEastAsia" w:hAnsiTheme="minorEastAsia" w:eastAsiaTheme="minorEastAsia"/>
          <w:b/>
          <w:color w:val="auto"/>
          <w:sz w:val="28"/>
          <w:szCs w:val="28"/>
          <w:highlight w:val="none"/>
        </w:rPr>
        <w:t>0、</w:t>
      </w:r>
      <w:r>
        <w:rPr>
          <w:rFonts w:hint="eastAsia" w:cs="仿宋" w:asciiTheme="minorEastAsia" w:hAnsiTheme="minorEastAsia" w:eastAsiaTheme="minorEastAsia"/>
          <w:b/>
          <w:color w:val="auto"/>
          <w:sz w:val="28"/>
          <w:szCs w:val="28"/>
          <w:highlight w:val="none"/>
        </w:rPr>
        <w:t>投标人承诺如最终使用单位需要防护垫或者防撞条，需免费提供，满足最终使用单位需求。</w:t>
      </w:r>
    </w:p>
    <w:p w14:paraId="70BF7D73">
      <w:pPr>
        <w:spacing w:line="360" w:lineRule="auto"/>
        <w:ind w:firstLine="562" w:firstLineChars="200"/>
        <w:rPr>
          <w:rFonts w:cs="仿宋"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*2</w:t>
      </w:r>
      <w:r>
        <w:rPr>
          <w:rFonts w:hint="eastAsia" w:asciiTheme="minorEastAsia" w:hAnsiTheme="minorEastAsia" w:eastAsiaTheme="minorEastAsia"/>
          <w:b/>
          <w:color w:val="auto"/>
          <w:sz w:val="28"/>
          <w:szCs w:val="28"/>
          <w:highlight w:val="none"/>
        </w:rPr>
        <w:t>1、</w:t>
      </w:r>
      <w:r>
        <w:rPr>
          <w:rFonts w:hint="eastAsia" w:cs="仿宋" w:asciiTheme="minorEastAsia" w:hAnsiTheme="minorEastAsia" w:eastAsiaTheme="minorEastAsia"/>
          <w:b/>
          <w:color w:val="auto"/>
          <w:sz w:val="28"/>
          <w:szCs w:val="28"/>
          <w:highlight w:val="none"/>
        </w:rPr>
        <w:t>投标人承诺品目号</w:t>
      </w:r>
      <w:r>
        <w:rPr>
          <w:rFonts w:cs="仿宋" w:asciiTheme="minorEastAsia" w:hAnsiTheme="minorEastAsia" w:eastAsiaTheme="minorEastAsia"/>
          <w:b/>
          <w:color w:val="auto"/>
          <w:sz w:val="28"/>
          <w:szCs w:val="28"/>
          <w:highlight w:val="none"/>
        </w:rPr>
        <w:t xml:space="preserve">1-4内置二代身份证阅读器(内置全新公安部标准身份证读卡模块为最新），即出厂日期为2023 </w:t>
      </w:r>
      <w:r>
        <w:rPr>
          <w:rFonts w:hint="eastAsia" w:cs="仿宋" w:asciiTheme="minorEastAsia" w:hAnsiTheme="minorEastAsia" w:eastAsiaTheme="minorEastAsia"/>
          <w:b/>
          <w:color w:val="auto"/>
          <w:sz w:val="28"/>
          <w:szCs w:val="28"/>
          <w:highlight w:val="none"/>
        </w:rPr>
        <w:t>年。</w:t>
      </w:r>
    </w:p>
    <w:p w14:paraId="5AD85E0F">
      <w:pPr>
        <w:spacing w:line="360" w:lineRule="auto"/>
        <w:ind w:firstLine="562" w:firstLineChars="200"/>
        <w:rPr>
          <w:rFonts w:cs="仿宋" w:asciiTheme="minorEastAsia" w:hAnsiTheme="minorEastAsia" w:eastAsiaTheme="minorEastAsia"/>
          <w:b/>
          <w:color w:val="auto"/>
          <w:sz w:val="28"/>
          <w:szCs w:val="28"/>
          <w:highlight w:val="none"/>
        </w:rPr>
      </w:pPr>
      <w:r>
        <w:rPr>
          <w:rFonts w:hint="eastAsia" w:cs="仿宋" w:asciiTheme="minorEastAsia" w:hAnsiTheme="minorEastAsia" w:eastAsiaTheme="minorEastAsia"/>
          <w:b/>
          <w:color w:val="auto"/>
          <w:sz w:val="28"/>
          <w:szCs w:val="28"/>
          <w:highlight w:val="none"/>
        </w:rPr>
        <w:t>*22、若中标供应商未在规定时间内向</w:t>
      </w:r>
      <w:r>
        <w:rPr>
          <w:rFonts w:hint="default" w:cs="仿宋" w:asciiTheme="minorEastAsia" w:hAnsiTheme="minorEastAsia" w:eastAsiaTheme="minorEastAsia"/>
          <w:b/>
          <w:color w:val="auto"/>
          <w:sz w:val="28"/>
          <w:szCs w:val="28"/>
          <w:highlight w:val="none"/>
        </w:rPr>
        <w:t>采购单位</w:t>
      </w:r>
      <w:r>
        <w:rPr>
          <w:rFonts w:hint="eastAsia" w:cs="仿宋" w:asciiTheme="minorEastAsia" w:hAnsiTheme="minorEastAsia" w:eastAsiaTheme="minorEastAsia"/>
          <w:b/>
          <w:color w:val="auto"/>
          <w:sz w:val="28"/>
          <w:szCs w:val="28"/>
          <w:highlight w:val="none"/>
        </w:rPr>
        <w:t>支付安装及维保费用的，需支付该笔安装及维保款项0.5%的逾期违约金，且</w:t>
      </w:r>
      <w:r>
        <w:rPr>
          <w:rFonts w:hint="default" w:cs="仿宋" w:asciiTheme="minorEastAsia" w:hAnsiTheme="minorEastAsia" w:eastAsiaTheme="minorEastAsia"/>
          <w:b/>
          <w:color w:val="auto"/>
          <w:sz w:val="28"/>
          <w:szCs w:val="28"/>
          <w:highlight w:val="none"/>
        </w:rPr>
        <w:t>采购单位</w:t>
      </w:r>
      <w:r>
        <w:rPr>
          <w:rFonts w:hint="eastAsia" w:cs="仿宋" w:asciiTheme="minorEastAsia" w:hAnsiTheme="minorEastAsia" w:eastAsiaTheme="minorEastAsia"/>
          <w:b/>
          <w:color w:val="auto"/>
          <w:sz w:val="28"/>
          <w:szCs w:val="28"/>
          <w:highlight w:val="none"/>
        </w:rPr>
        <w:t>有权直接从中标供应商的履约保证金中扣除。</w:t>
      </w:r>
    </w:p>
    <w:p w14:paraId="723505BE">
      <w:pPr>
        <w:spacing w:line="360" w:lineRule="auto"/>
        <w:ind w:firstLine="562" w:firstLineChars="200"/>
        <w:rPr>
          <w:rFonts w:asciiTheme="minorEastAsia" w:hAnsiTheme="minorEastAsia" w:eastAsiaTheme="minorEastAsia"/>
          <w:b/>
          <w:color w:val="auto"/>
          <w:sz w:val="28"/>
          <w:szCs w:val="28"/>
          <w:highlight w:val="none"/>
        </w:rPr>
      </w:pPr>
      <w:r>
        <w:rPr>
          <w:rFonts w:hint="eastAsia" w:cs="仿宋" w:asciiTheme="minorEastAsia" w:hAnsiTheme="minorEastAsia" w:eastAsiaTheme="minorEastAsia"/>
          <w:b/>
          <w:color w:val="auto"/>
          <w:sz w:val="28"/>
          <w:szCs w:val="28"/>
          <w:highlight w:val="none"/>
        </w:rPr>
        <w:t>*23、供货时间：</w:t>
      </w:r>
      <w:r>
        <w:rPr>
          <w:rFonts w:hint="eastAsia" w:ascii="宋体" w:hAnsi="宋体" w:cs="宋体"/>
          <w:b/>
          <w:bCs/>
          <w:color w:val="auto"/>
          <w:sz w:val="24"/>
          <w:szCs w:val="24"/>
          <w:highlight w:val="none"/>
        </w:rPr>
        <w:t>≤</w:t>
      </w:r>
      <w:r>
        <w:rPr>
          <w:rFonts w:hint="eastAsia" w:cs="仿宋" w:asciiTheme="minorEastAsia" w:hAnsiTheme="minorEastAsia" w:eastAsiaTheme="minorEastAsia"/>
          <w:b/>
          <w:color w:val="auto"/>
          <w:sz w:val="28"/>
          <w:szCs w:val="28"/>
          <w:highlight w:val="none"/>
        </w:rPr>
        <w:t>10个日历日。</w:t>
      </w:r>
    </w:p>
    <w:p w14:paraId="240CE49B">
      <w:pPr>
        <w:spacing w:line="360" w:lineRule="auto"/>
        <w:ind w:firstLine="562" w:firstLineChars="200"/>
        <w:rPr>
          <w:rFonts w:asciiTheme="minorEastAsia" w:hAnsiTheme="minorEastAsia" w:eastAsiaTheme="minorEastAsia"/>
          <w:b/>
          <w:color w:val="auto"/>
          <w:sz w:val="28"/>
          <w:szCs w:val="28"/>
          <w:highlight w:val="none"/>
        </w:rPr>
      </w:pPr>
    </w:p>
    <w:p w14:paraId="5BEFBC9A">
      <w:pPr>
        <w:tabs>
          <w:tab w:val="left" w:pos="5130"/>
        </w:tabs>
        <w:spacing w:line="360" w:lineRule="auto"/>
        <w:ind w:firstLine="480" w:firstLineChars="200"/>
        <w:rPr>
          <w:rFonts w:ascii="宋体" w:hAnsi="宋体"/>
          <w:color w:val="auto"/>
          <w:sz w:val="24"/>
          <w:highlight w:val="none"/>
        </w:rPr>
      </w:pPr>
    </w:p>
    <w:p w14:paraId="13098970">
      <w:pPr>
        <w:tabs>
          <w:tab w:val="left" w:pos="5130"/>
        </w:tabs>
        <w:spacing w:line="360" w:lineRule="auto"/>
        <w:ind w:firstLine="480" w:firstLineChars="200"/>
        <w:rPr>
          <w:rFonts w:ascii="宋体" w:hAnsi="宋体"/>
          <w:color w:val="auto"/>
          <w:sz w:val="24"/>
          <w:highlight w:val="none"/>
        </w:rPr>
      </w:pPr>
    </w:p>
    <w:p w14:paraId="40D647A7">
      <w:pPr>
        <w:tabs>
          <w:tab w:val="left" w:pos="5130"/>
        </w:tabs>
        <w:spacing w:line="360" w:lineRule="auto"/>
        <w:rPr>
          <w:rFonts w:ascii="宋体" w:hAnsi="宋体"/>
          <w:color w:val="auto"/>
          <w:sz w:val="24"/>
          <w:highlight w:val="none"/>
        </w:rPr>
      </w:pPr>
    </w:p>
    <w:p w14:paraId="58829741">
      <w:pPr>
        <w:tabs>
          <w:tab w:val="left" w:pos="5130"/>
        </w:tabs>
        <w:spacing w:line="360" w:lineRule="auto"/>
        <w:ind w:firstLine="480" w:firstLineChars="200"/>
        <w:rPr>
          <w:rFonts w:ascii="宋体" w:hAnsi="宋体"/>
          <w:color w:val="auto"/>
          <w:sz w:val="24"/>
          <w:highlight w:val="none"/>
        </w:rPr>
      </w:pPr>
    </w:p>
    <w:p w14:paraId="396FE9E5">
      <w:pPr>
        <w:tabs>
          <w:tab w:val="left" w:pos="5130"/>
        </w:tabs>
        <w:spacing w:line="360" w:lineRule="auto"/>
        <w:ind w:firstLine="480" w:firstLineChars="200"/>
        <w:rPr>
          <w:rFonts w:ascii="宋体" w:hAnsi="宋体"/>
          <w:color w:val="auto"/>
          <w:sz w:val="24"/>
          <w:highlight w:val="none"/>
        </w:rPr>
      </w:pPr>
    </w:p>
    <w:p w14:paraId="6F598F31">
      <w:pPr>
        <w:tabs>
          <w:tab w:val="left" w:pos="5130"/>
        </w:tabs>
        <w:spacing w:line="360" w:lineRule="auto"/>
        <w:ind w:firstLine="480" w:firstLineChars="200"/>
        <w:rPr>
          <w:rFonts w:ascii="宋体" w:hAnsi="宋体"/>
          <w:color w:val="auto"/>
          <w:sz w:val="24"/>
          <w:highlight w:val="none"/>
        </w:rPr>
      </w:pPr>
    </w:p>
    <w:p w14:paraId="7AD38A27">
      <w:pPr>
        <w:spacing w:line="360" w:lineRule="auto"/>
        <w:rPr>
          <w:rFonts w:hint="eastAsia"/>
          <w:b/>
          <w:color w:val="auto"/>
          <w:sz w:val="24"/>
          <w:highlight w:val="none"/>
        </w:rPr>
      </w:pPr>
    </w:p>
    <w:p w14:paraId="4D33BBEE">
      <w:pPr>
        <w:spacing w:line="360" w:lineRule="auto"/>
        <w:rPr>
          <w:rFonts w:hint="eastAsia"/>
          <w:b/>
          <w:color w:val="auto"/>
          <w:sz w:val="24"/>
          <w:highlight w:val="none"/>
        </w:rPr>
      </w:pPr>
    </w:p>
    <w:p w14:paraId="4041DD89">
      <w:pPr>
        <w:spacing w:line="360" w:lineRule="auto"/>
        <w:rPr>
          <w:rFonts w:hint="eastAsia"/>
          <w:b/>
          <w:color w:val="auto"/>
          <w:sz w:val="24"/>
          <w:highlight w:val="none"/>
        </w:rPr>
      </w:pPr>
    </w:p>
    <w:p w14:paraId="387BED56">
      <w:pPr>
        <w:spacing w:line="360" w:lineRule="auto"/>
        <w:rPr>
          <w:rFonts w:hint="eastAsia"/>
          <w:b/>
          <w:color w:val="auto"/>
          <w:sz w:val="24"/>
          <w:highlight w:val="none"/>
        </w:rPr>
      </w:pPr>
    </w:p>
    <w:p w14:paraId="11304F99">
      <w:pPr>
        <w:spacing w:line="360" w:lineRule="auto"/>
        <w:rPr>
          <w:rFonts w:hint="eastAsia"/>
          <w:b/>
          <w:color w:val="auto"/>
          <w:sz w:val="24"/>
          <w:highlight w:val="none"/>
        </w:rPr>
      </w:pPr>
    </w:p>
    <w:p w14:paraId="62074F00">
      <w:pPr>
        <w:spacing w:line="360" w:lineRule="auto"/>
        <w:rPr>
          <w:rFonts w:hint="eastAsia"/>
          <w:b/>
          <w:color w:val="auto"/>
          <w:sz w:val="24"/>
          <w:highlight w:val="none"/>
        </w:rPr>
      </w:pPr>
    </w:p>
    <w:p w14:paraId="59033F37">
      <w:pPr>
        <w:spacing w:line="360" w:lineRule="auto"/>
        <w:rPr>
          <w:rFonts w:hint="eastAsia"/>
          <w:b/>
          <w:color w:val="auto"/>
          <w:sz w:val="24"/>
          <w:highlight w:val="none"/>
        </w:rPr>
      </w:pPr>
    </w:p>
    <w:p w14:paraId="54BBEB14">
      <w:pPr>
        <w:spacing w:line="360" w:lineRule="auto"/>
        <w:rPr>
          <w:rFonts w:hint="eastAsia"/>
          <w:b/>
          <w:color w:val="auto"/>
          <w:sz w:val="24"/>
          <w:highlight w:val="none"/>
        </w:rPr>
      </w:pPr>
    </w:p>
    <w:p w14:paraId="25B1670B">
      <w:pPr>
        <w:spacing w:line="360" w:lineRule="auto"/>
        <w:rPr>
          <w:b/>
          <w:color w:val="auto"/>
          <w:sz w:val="24"/>
          <w:highlight w:val="none"/>
        </w:rPr>
      </w:pPr>
      <w:r>
        <w:rPr>
          <w:rFonts w:hint="eastAsia"/>
          <w:b/>
          <w:color w:val="auto"/>
          <w:sz w:val="24"/>
          <w:highlight w:val="none"/>
        </w:rPr>
        <w:t>附件：关联关系证明</w:t>
      </w:r>
    </w:p>
    <w:p w14:paraId="5B2F8456">
      <w:pPr>
        <w:spacing w:line="360" w:lineRule="auto"/>
        <w:jc w:val="center"/>
        <w:rPr>
          <w:b/>
          <w:color w:val="auto"/>
          <w:sz w:val="28"/>
          <w:szCs w:val="28"/>
          <w:highlight w:val="none"/>
        </w:rPr>
      </w:pPr>
      <w:r>
        <w:rPr>
          <w:rFonts w:hint="eastAsia"/>
          <w:b/>
          <w:color w:val="auto"/>
          <w:sz w:val="28"/>
          <w:szCs w:val="28"/>
          <w:highlight w:val="none"/>
        </w:rPr>
        <w:t>关联企业证明</w:t>
      </w:r>
    </w:p>
    <w:p w14:paraId="38E09C89">
      <w:pPr>
        <w:spacing w:line="360" w:lineRule="auto"/>
        <w:rPr>
          <w:b/>
          <w:color w:val="auto"/>
          <w:sz w:val="24"/>
          <w:highlight w:val="none"/>
        </w:rPr>
      </w:pPr>
      <w:r>
        <w:rPr>
          <w:rFonts w:hint="eastAsia"/>
          <w:b/>
          <w:color w:val="auto"/>
          <w:sz w:val="24"/>
          <w:highlight w:val="none"/>
        </w:rPr>
        <w:t>致：</w:t>
      </w:r>
      <w:r>
        <w:rPr>
          <w:b/>
          <w:color w:val="auto"/>
          <w:sz w:val="24"/>
          <w:highlight w:val="none"/>
          <w:u w:val="single"/>
        </w:rPr>
        <w:t xml:space="preserve">  </w:t>
      </w:r>
      <w:r>
        <w:rPr>
          <w:rFonts w:hint="eastAsia"/>
          <w:b/>
          <w:color w:val="auto"/>
          <w:sz w:val="24"/>
          <w:highlight w:val="none"/>
          <w:u w:val="single"/>
        </w:rPr>
        <w:t>（招标代理机构）</w:t>
      </w:r>
      <w:r>
        <w:rPr>
          <w:b/>
          <w:color w:val="auto"/>
          <w:sz w:val="24"/>
          <w:highlight w:val="none"/>
          <w:u w:val="single"/>
        </w:rPr>
        <w:t xml:space="preserve">  </w:t>
      </w:r>
    </w:p>
    <w:p w14:paraId="2AE9DE2F">
      <w:pPr>
        <w:spacing w:line="360" w:lineRule="auto"/>
        <w:ind w:firstLine="482" w:firstLineChars="200"/>
        <w:rPr>
          <w:b/>
          <w:color w:val="auto"/>
          <w:sz w:val="24"/>
          <w:highlight w:val="none"/>
        </w:rPr>
      </w:pPr>
      <w:r>
        <w:rPr>
          <w:b/>
          <w:color w:val="auto"/>
          <w:sz w:val="24"/>
          <w:highlight w:val="none"/>
          <w:u w:val="single"/>
        </w:rPr>
        <w:t xml:space="preserve">  </w:t>
      </w:r>
      <w:r>
        <w:rPr>
          <w:rFonts w:hint="eastAsia"/>
          <w:b/>
          <w:color w:val="auto"/>
          <w:sz w:val="24"/>
          <w:highlight w:val="none"/>
          <w:u w:val="single"/>
        </w:rPr>
        <w:t>（制造商或制造商关联企业名称）</w:t>
      </w:r>
      <w:r>
        <w:rPr>
          <w:b/>
          <w:color w:val="auto"/>
          <w:sz w:val="24"/>
          <w:highlight w:val="none"/>
          <w:u w:val="single"/>
        </w:rPr>
        <w:t xml:space="preserve">  </w:t>
      </w:r>
      <w:r>
        <w:rPr>
          <w:rFonts w:hint="eastAsia"/>
          <w:b/>
          <w:color w:val="auto"/>
          <w:sz w:val="24"/>
          <w:highlight w:val="none"/>
        </w:rPr>
        <w:t>现在此声明，根据本项目招标文件的要求</w:t>
      </w:r>
      <w:r>
        <w:rPr>
          <w:b/>
          <w:color w:val="auto"/>
          <w:sz w:val="24"/>
          <w:highlight w:val="none"/>
          <w:u w:val="single"/>
        </w:rPr>
        <w:t xml:space="preserve">  </w:t>
      </w:r>
      <w:r>
        <w:rPr>
          <w:rFonts w:hint="eastAsia"/>
          <w:b/>
          <w:color w:val="auto"/>
          <w:sz w:val="24"/>
          <w:highlight w:val="none"/>
          <w:u w:val="single"/>
        </w:rPr>
        <w:t>（制造商关联企业名称）</w:t>
      </w:r>
      <w:r>
        <w:rPr>
          <w:b/>
          <w:color w:val="auto"/>
          <w:sz w:val="24"/>
          <w:highlight w:val="none"/>
          <w:u w:val="single"/>
        </w:rPr>
        <w:t xml:space="preserve"> </w:t>
      </w:r>
      <w:r>
        <w:rPr>
          <w:rFonts w:hint="eastAsia"/>
          <w:b/>
          <w:color w:val="auto"/>
          <w:sz w:val="24"/>
          <w:highlight w:val="none"/>
          <w:u w:val="single"/>
        </w:rPr>
        <w:t>是</w:t>
      </w:r>
      <w:r>
        <w:rPr>
          <w:b/>
          <w:color w:val="auto"/>
          <w:sz w:val="24"/>
          <w:highlight w:val="none"/>
          <w:u w:val="single"/>
        </w:rPr>
        <w:t xml:space="preserve">  </w:t>
      </w:r>
      <w:r>
        <w:rPr>
          <w:rFonts w:hint="eastAsia"/>
          <w:b/>
          <w:color w:val="auto"/>
          <w:sz w:val="24"/>
          <w:highlight w:val="none"/>
          <w:u w:val="single"/>
        </w:rPr>
        <w:t>（制造商名称）</w:t>
      </w:r>
      <w:r>
        <w:rPr>
          <w:b/>
          <w:color w:val="auto"/>
          <w:sz w:val="24"/>
          <w:highlight w:val="none"/>
          <w:u w:val="single"/>
        </w:rPr>
        <w:t xml:space="preserve"> </w:t>
      </w:r>
      <w:r>
        <w:rPr>
          <w:rFonts w:hint="eastAsia"/>
          <w:b/>
          <w:color w:val="auto"/>
          <w:sz w:val="24"/>
          <w:highlight w:val="none"/>
        </w:rPr>
        <w:t>的关联企业，</w:t>
      </w:r>
    </w:p>
    <w:p w14:paraId="23A665FE">
      <w:pPr>
        <w:spacing w:line="360" w:lineRule="auto"/>
        <w:ind w:firstLine="482" w:firstLineChars="200"/>
        <w:rPr>
          <w:b/>
          <w:color w:val="auto"/>
          <w:sz w:val="24"/>
          <w:highlight w:val="none"/>
        </w:rPr>
      </w:pPr>
      <w:r>
        <w:rPr>
          <w:rFonts w:hint="eastAsia"/>
          <w:b/>
          <w:color w:val="auto"/>
          <w:sz w:val="24"/>
          <w:highlight w:val="none"/>
        </w:rPr>
        <w:t>特此证明。</w:t>
      </w:r>
    </w:p>
    <w:p w14:paraId="765DF6EE">
      <w:pPr>
        <w:spacing w:line="360" w:lineRule="auto"/>
        <w:ind w:firstLine="482" w:firstLineChars="200"/>
        <w:rPr>
          <w:b/>
          <w:color w:val="auto"/>
          <w:sz w:val="24"/>
          <w:highlight w:val="none"/>
        </w:rPr>
      </w:pPr>
    </w:p>
    <w:p w14:paraId="1C5448FF">
      <w:pPr>
        <w:spacing w:line="360" w:lineRule="auto"/>
        <w:ind w:firstLine="482" w:firstLineChars="200"/>
        <w:rPr>
          <w:b/>
          <w:color w:val="auto"/>
          <w:sz w:val="24"/>
          <w:highlight w:val="none"/>
          <w:u w:val="single"/>
        </w:rPr>
      </w:pPr>
      <w:r>
        <w:rPr>
          <w:rFonts w:hint="eastAsia"/>
          <w:b/>
          <w:color w:val="auto"/>
          <w:sz w:val="24"/>
          <w:highlight w:val="none"/>
        </w:rPr>
        <w:t>制造商或制造商关联企业名称</w:t>
      </w:r>
      <w:r>
        <w:rPr>
          <w:rFonts w:hint="eastAsia"/>
          <w:b/>
          <w:color w:val="auto"/>
          <w:sz w:val="24"/>
          <w:highlight w:val="none"/>
          <w:u w:val="single"/>
        </w:rPr>
        <w:t>：</w:t>
      </w:r>
      <w:r>
        <w:rPr>
          <w:b/>
          <w:color w:val="auto"/>
          <w:sz w:val="24"/>
          <w:highlight w:val="none"/>
          <w:u w:val="single"/>
        </w:rPr>
        <w:t xml:space="preserve">                            </w:t>
      </w:r>
    </w:p>
    <w:p w14:paraId="5080751F">
      <w:pPr>
        <w:tabs>
          <w:tab w:val="left" w:pos="5130"/>
        </w:tabs>
        <w:spacing w:line="360" w:lineRule="auto"/>
        <w:ind w:firstLine="482" w:firstLineChars="200"/>
        <w:rPr>
          <w:rFonts w:ascii="宋体" w:hAnsi="宋体"/>
          <w:color w:val="auto"/>
          <w:sz w:val="24"/>
          <w:highlight w:val="none"/>
        </w:rPr>
      </w:pPr>
      <w:r>
        <w:rPr>
          <w:b/>
          <w:color w:val="auto"/>
          <w:sz w:val="24"/>
          <w:highlight w:val="none"/>
        </w:rPr>
        <w:t xml:space="preserve">      </w:t>
      </w:r>
      <w:r>
        <w:rPr>
          <w:rFonts w:hint="eastAsia"/>
          <w:b/>
          <w:color w:val="auto"/>
          <w:sz w:val="24"/>
          <w:highlight w:val="none"/>
        </w:rPr>
        <w:t>（盖章）</w:t>
      </w:r>
      <w:r>
        <w:rPr>
          <w:b/>
          <w:color w:val="auto"/>
          <w:sz w:val="24"/>
          <w:highlight w:val="none"/>
        </w:rPr>
        <w:t xml:space="preserve">                       </w:t>
      </w:r>
      <w:r>
        <w:rPr>
          <w:rFonts w:hint="eastAsia"/>
          <w:b/>
          <w:color w:val="auto"/>
          <w:sz w:val="24"/>
          <w:highlight w:val="none"/>
        </w:rPr>
        <w:t>日期：</w:t>
      </w:r>
    </w:p>
    <w:p w14:paraId="6C185389">
      <w:pPr>
        <w:tabs>
          <w:tab w:val="left" w:pos="5130"/>
        </w:tabs>
        <w:spacing w:line="360" w:lineRule="auto"/>
        <w:ind w:firstLine="480" w:firstLineChars="200"/>
        <w:rPr>
          <w:rFonts w:ascii="宋体" w:hAnsi="宋体" w:cs="宋体"/>
          <w:color w:val="auto"/>
          <w:sz w:val="24"/>
          <w:szCs w:val="24"/>
          <w:highlight w:val="none"/>
        </w:rPr>
      </w:pPr>
    </w:p>
    <w:p w14:paraId="35162BC6">
      <w:pPr>
        <w:tabs>
          <w:tab w:val="left" w:pos="5130"/>
        </w:tabs>
        <w:spacing w:line="360" w:lineRule="auto"/>
        <w:ind w:firstLine="480" w:firstLineChars="200"/>
        <w:rPr>
          <w:rFonts w:ascii="宋体" w:hAnsi="宋体" w:cs="宋体"/>
          <w:color w:val="auto"/>
          <w:sz w:val="24"/>
          <w:szCs w:val="24"/>
          <w:highlight w:val="none"/>
        </w:rPr>
      </w:pPr>
    </w:p>
    <w:p w14:paraId="20AEBED6">
      <w:pPr>
        <w:tabs>
          <w:tab w:val="left" w:pos="5130"/>
        </w:tabs>
        <w:spacing w:line="360" w:lineRule="auto"/>
        <w:ind w:firstLine="480" w:firstLineChars="200"/>
        <w:rPr>
          <w:rFonts w:ascii="宋体" w:hAnsi="宋体" w:cs="宋体"/>
          <w:color w:val="auto"/>
          <w:sz w:val="24"/>
          <w:szCs w:val="24"/>
          <w:highlight w:val="none"/>
        </w:rPr>
      </w:pPr>
    </w:p>
    <w:p w14:paraId="51787576">
      <w:pPr>
        <w:tabs>
          <w:tab w:val="left" w:pos="5130"/>
        </w:tabs>
        <w:spacing w:line="360" w:lineRule="auto"/>
        <w:ind w:firstLine="480" w:firstLineChars="200"/>
        <w:rPr>
          <w:rFonts w:ascii="宋体" w:hAnsi="宋体" w:cs="宋体"/>
          <w:color w:val="auto"/>
          <w:sz w:val="24"/>
          <w:szCs w:val="24"/>
          <w:highlight w:val="none"/>
        </w:rPr>
      </w:pPr>
    </w:p>
    <w:p w14:paraId="3CA95665">
      <w:pPr>
        <w:tabs>
          <w:tab w:val="left" w:pos="5130"/>
        </w:tabs>
        <w:spacing w:line="360" w:lineRule="auto"/>
        <w:ind w:firstLine="480" w:firstLineChars="200"/>
        <w:rPr>
          <w:rFonts w:ascii="宋体" w:hAnsi="宋体" w:cs="宋体"/>
          <w:color w:val="auto"/>
          <w:sz w:val="24"/>
          <w:szCs w:val="24"/>
          <w:highlight w:val="none"/>
        </w:rPr>
      </w:pPr>
    </w:p>
    <w:p w14:paraId="34FE3962">
      <w:pPr>
        <w:tabs>
          <w:tab w:val="left" w:pos="5130"/>
        </w:tabs>
        <w:spacing w:line="360" w:lineRule="auto"/>
        <w:ind w:firstLine="480" w:firstLineChars="200"/>
        <w:rPr>
          <w:rFonts w:ascii="宋体" w:hAnsi="宋体" w:cs="宋体"/>
          <w:color w:val="auto"/>
          <w:sz w:val="24"/>
          <w:szCs w:val="24"/>
          <w:highlight w:val="none"/>
        </w:rPr>
      </w:pPr>
    </w:p>
    <w:p w14:paraId="457A41BF">
      <w:pPr>
        <w:tabs>
          <w:tab w:val="left" w:pos="5130"/>
        </w:tabs>
        <w:spacing w:line="360" w:lineRule="auto"/>
        <w:ind w:firstLine="480" w:firstLineChars="200"/>
        <w:rPr>
          <w:rFonts w:ascii="宋体" w:hAnsi="宋体" w:cs="宋体"/>
          <w:color w:val="auto"/>
          <w:sz w:val="24"/>
          <w:szCs w:val="24"/>
          <w:highlight w:val="none"/>
        </w:rPr>
      </w:pPr>
    </w:p>
    <w:p w14:paraId="072F1736">
      <w:pPr>
        <w:tabs>
          <w:tab w:val="left" w:pos="5130"/>
        </w:tabs>
        <w:spacing w:line="360" w:lineRule="auto"/>
        <w:ind w:firstLine="480" w:firstLineChars="200"/>
        <w:rPr>
          <w:rFonts w:ascii="宋体" w:hAnsi="宋体" w:cs="宋体"/>
          <w:color w:val="auto"/>
          <w:sz w:val="24"/>
          <w:szCs w:val="24"/>
          <w:highlight w:val="none"/>
        </w:rPr>
      </w:pPr>
    </w:p>
    <w:p w14:paraId="0928377D">
      <w:pPr>
        <w:tabs>
          <w:tab w:val="left" w:pos="5130"/>
        </w:tabs>
        <w:spacing w:line="360" w:lineRule="auto"/>
        <w:ind w:firstLine="480" w:firstLineChars="200"/>
        <w:rPr>
          <w:rFonts w:ascii="宋体" w:hAnsi="宋体" w:cs="宋体"/>
          <w:color w:val="auto"/>
          <w:sz w:val="24"/>
          <w:szCs w:val="24"/>
          <w:highlight w:val="none"/>
        </w:rPr>
      </w:pPr>
    </w:p>
    <w:p w14:paraId="58039794">
      <w:pPr>
        <w:tabs>
          <w:tab w:val="left" w:pos="5130"/>
        </w:tabs>
        <w:spacing w:line="360" w:lineRule="auto"/>
        <w:ind w:firstLine="480" w:firstLineChars="200"/>
        <w:rPr>
          <w:rFonts w:ascii="宋体" w:hAnsi="宋体" w:cs="宋体"/>
          <w:color w:val="auto"/>
          <w:sz w:val="24"/>
          <w:szCs w:val="24"/>
          <w:highlight w:val="none"/>
        </w:rPr>
      </w:pPr>
    </w:p>
    <w:p w14:paraId="373761A4">
      <w:pPr>
        <w:tabs>
          <w:tab w:val="left" w:pos="5130"/>
        </w:tabs>
        <w:spacing w:line="360" w:lineRule="auto"/>
        <w:ind w:firstLine="480" w:firstLineChars="200"/>
        <w:rPr>
          <w:rFonts w:ascii="宋体" w:hAnsi="宋体" w:cs="宋体"/>
          <w:color w:val="auto"/>
          <w:sz w:val="24"/>
          <w:szCs w:val="24"/>
          <w:highlight w:val="none"/>
        </w:rPr>
      </w:pPr>
    </w:p>
    <w:p w14:paraId="60E15E91">
      <w:pPr>
        <w:tabs>
          <w:tab w:val="left" w:pos="5130"/>
        </w:tabs>
        <w:spacing w:line="360" w:lineRule="auto"/>
        <w:ind w:firstLine="480" w:firstLineChars="200"/>
        <w:rPr>
          <w:rFonts w:ascii="宋体" w:hAnsi="宋体" w:cs="宋体"/>
          <w:color w:val="auto"/>
          <w:sz w:val="24"/>
          <w:szCs w:val="24"/>
          <w:highlight w:val="none"/>
        </w:rPr>
      </w:pPr>
    </w:p>
    <w:p w14:paraId="67472E0B">
      <w:pPr>
        <w:tabs>
          <w:tab w:val="left" w:pos="5130"/>
        </w:tabs>
        <w:spacing w:line="360" w:lineRule="auto"/>
        <w:ind w:firstLine="480" w:firstLineChars="200"/>
        <w:rPr>
          <w:rFonts w:ascii="宋体" w:hAnsi="宋体" w:cs="宋体"/>
          <w:color w:val="auto"/>
          <w:sz w:val="24"/>
          <w:szCs w:val="24"/>
          <w:highlight w:val="none"/>
        </w:rPr>
      </w:pPr>
    </w:p>
    <w:p w14:paraId="5192FF65">
      <w:pPr>
        <w:tabs>
          <w:tab w:val="left" w:pos="5130"/>
        </w:tabs>
        <w:spacing w:line="360" w:lineRule="auto"/>
        <w:ind w:firstLine="480" w:firstLineChars="200"/>
        <w:rPr>
          <w:rFonts w:ascii="宋体" w:hAnsi="宋体" w:cs="宋体"/>
          <w:color w:val="auto"/>
          <w:sz w:val="24"/>
          <w:szCs w:val="24"/>
          <w:highlight w:val="none"/>
        </w:rPr>
      </w:pPr>
    </w:p>
    <w:p w14:paraId="3B8656A4">
      <w:pPr>
        <w:tabs>
          <w:tab w:val="left" w:pos="5130"/>
        </w:tabs>
        <w:spacing w:line="360" w:lineRule="auto"/>
        <w:ind w:firstLine="480" w:firstLineChars="200"/>
        <w:rPr>
          <w:rFonts w:ascii="宋体" w:hAnsi="宋体" w:cs="宋体"/>
          <w:color w:val="auto"/>
          <w:sz w:val="24"/>
          <w:szCs w:val="24"/>
          <w:highlight w:val="none"/>
        </w:rPr>
      </w:pPr>
    </w:p>
    <w:p w14:paraId="33B879C1">
      <w:pPr>
        <w:tabs>
          <w:tab w:val="left" w:pos="5130"/>
        </w:tabs>
        <w:spacing w:line="360" w:lineRule="auto"/>
        <w:ind w:firstLine="480" w:firstLineChars="200"/>
        <w:rPr>
          <w:rFonts w:ascii="宋体" w:hAnsi="宋体" w:cs="宋体"/>
          <w:color w:val="auto"/>
          <w:sz w:val="24"/>
          <w:szCs w:val="24"/>
          <w:highlight w:val="none"/>
        </w:rPr>
      </w:pPr>
    </w:p>
    <w:p w14:paraId="153627B1">
      <w:pPr>
        <w:tabs>
          <w:tab w:val="left" w:pos="5130"/>
        </w:tabs>
        <w:spacing w:line="360" w:lineRule="auto"/>
        <w:ind w:firstLine="480" w:firstLineChars="200"/>
        <w:rPr>
          <w:rFonts w:ascii="宋体" w:hAnsi="宋体" w:cs="宋体"/>
          <w:color w:val="auto"/>
          <w:sz w:val="24"/>
          <w:szCs w:val="24"/>
          <w:highlight w:val="none"/>
        </w:rPr>
      </w:pPr>
    </w:p>
    <w:p w14:paraId="10C4D4B9">
      <w:pPr>
        <w:tabs>
          <w:tab w:val="left" w:pos="5130"/>
        </w:tabs>
        <w:spacing w:line="360" w:lineRule="auto"/>
        <w:ind w:firstLine="480" w:firstLineChars="200"/>
        <w:rPr>
          <w:rFonts w:ascii="宋体" w:hAnsi="宋体" w:cs="宋体"/>
          <w:color w:val="auto"/>
          <w:sz w:val="24"/>
          <w:szCs w:val="24"/>
          <w:highlight w:val="none"/>
        </w:rPr>
      </w:pPr>
    </w:p>
    <w:p w14:paraId="41A7B27B">
      <w:pPr>
        <w:tabs>
          <w:tab w:val="left" w:pos="5130"/>
        </w:tabs>
        <w:spacing w:line="360" w:lineRule="auto"/>
        <w:ind w:firstLine="480" w:firstLineChars="200"/>
        <w:rPr>
          <w:rFonts w:ascii="宋体" w:hAnsi="宋体" w:cs="宋体"/>
          <w:color w:val="auto"/>
          <w:sz w:val="24"/>
          <w:szCs w:val="24"/>
          <w:highlight w:val="none"/>
        </w:rPr>
      </w:pPr>
    </w:p>
    <w:p w14:paraId="787456C0">
      <w:pPr>
        <w:tabs>
          <w:tab w:val="left" w:pos="5130"/>
        </w:tabs>
        <w:spacing w:line="360" w:lineRule="auto"/>
        <w:ind w:firstLine="480" w:firstLineChars="200"/>
        <w:rPr>
          <w:rFonts w:ascii="宋体" w:hAnsi="宋体" w:cs="宋体"/>
          <w:color w:val="auto"/>
          <w:sz w:val="24"/>
          <w:szCs w:val="24"/>
          <w:highlight w:val="none"/>
        </w:rPr>
      </w:pPr>
    </w:p>
    <w:p w14:paraId="62911823">
      <w:pPr>
        <w:tabs>
          <w:tab w:val="left" w:pos="5130"/>
        </w:tabs>
        <w:spacing w:line="360" w:lineRule="auto"/>
        <w:ind w:firstLine="480" w:firstLineChars="200"/>
        <w:rPr>
          <w:rFonts w:ascii="宋体" w:hAnsi="宋体" w:cs="宋体"/>
          <w:color w:val="auto"/>
          <w:sz w:val="24"/>
          <w:szCs w:val="24"/>
          <w:highlight w:val="none"/>
        </w:rPr>
      </w:pPr>
    </w:p>
    <w:p w14:paraId="5D4C44F4">
      <w:pPr>
        <w:tabs>
          <w:tab w:val="left" w:pos="5130"/>
        </w:tabs>
        <w:spacing w:line="360" w:lineRule="auto"/>
        <w:ind w:firstLine="480" w:firstLineChars="200"/>
        <w:rPr>
          <w:rFonts w:ascii="宋体" w:hAnsi="宋体" w:cs="宋体"/>
          <w:color w:val="auto"/>
          <w:sz w:val="24"/>
          <w:szCs w:val="24"/>
          <w:highlight w:val="none"/>
        </w:rPr>
      </w:pPr>
    </w:p>
    <w:p w14:paraId="1A93F408">
      <w:pPr>
        <w:tabs>
          <w:tab w:val="left" w:pos="5130"/>
        </w:tabs>
        <w:spacing w:line="360" w:lineRule="auto"/>
        <w:ind w:firstLine="480" w:firstLineChars="200"/>
        <w:rPr>
          <w:rFonts w:ascii="宋体" w:hAnsi="宋体" w:cs="宋体"/>
          <w:color w:val="auto"/>
          <w:sz w:val="24"/>
          <w:szCs w:val="24"/>
          <w:highlight w:val="none"/>
        </w:rPr>
      </w:pPr>
    </w:p>
    <w:p w14:paraId="39D39DCB">
      <w:pPr>
        <w:spacing w:line="360" w:lineRule="auto"/>
        <w:rPr>
          <w:rFonts w:ascii="宋体" w:hAnsi="宋体" w:cs="宋体"/>
          <w:color w:val="auto"/>
          <w:sz w:val="32"/>
          <w:szCs w:val="32"/>
          <w:highlight w:val="none"/>
        </w:rPr>
      </w:pPr>
      <w:r>
        <w:rPr>
          <w:rFonts w:hint="eastAsia" w:ascii="宋体" w:hAnsi="宋体" w:cs="宋体"/>
          <w:b/>
          <w:color w:val="auto"/>
          <w:sz w:val="32"/>
          <w:szCs w:val="32"/>
          <w:highlight w:val="none"/>
        </w:rPr>
        <w:t>附表：</w:t>
      </w:r>
    </w:p>
    <w:p w14:paraId="521007E2">
      <w:pPr>
        <w:spacing w:line="360" w:lineRule="auto"/>
        <w:ind w:firstLine="630" w:firstLineChars="196"/>
        <w:jc w:val="center"/>
        <w:rPr>
          <w:rFonts w:ascii="宋体" w:hAnsi="宋体" w:cs="宋体"/>
          <w:b/>
          <w:color w:val="auto"/>
          <w:sz w:val="32"/>
          <w:szCs w:val="32"/>
          <w:highlight w:val="none"/>
        </w:rPr>
      </w:pPr>
      <w:r>
        <w:rPr>
          <w:rFonts w:hint="eastAsia" w:ascii="宋体" w:hAnsi="宋体" w:cs="宋体"/>
          <w:b/>
          <w:color w:val="auto"/>
          <w:sz w:val="32"/>
          <w:szCs w:val="32"/>
          <w:highlight w:val="none"/>
        </w:rPr>
        <w:t>技术规格及商务响应表</w:t>
      </w:r>
    </w:p>
    <w:p w14:paraId="163E7D2C">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tbl>
      <w:tblPr>
        <w:tblStyle w:val="12"/>
        <w:tblW w:w="102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4A11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vAlign w:val="center"/>
          </w:tcPr>
          <w:p w14:paraId="025578B7">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vAlign w:val="center"/>
          </w:tcPr>
          <w:p w14:paraId="47BAF62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投标响应</w:t>
            </w:r>
          </w:p>
        </w:tc>
      </w:tr>
      <w:tr w14:paraId="37ECB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vAlign w:val="center"/>
          </w:tcPr>
          <w:p w14:paraId="5266A28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vAlign w:val="center"/>
          </w:tcPr>
          <w:p w14:paraId="0B36CD7E">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货物</w:t>
            </w:r>
          </w:p>
          <w:p w14:paraId="105459FF">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vAlign w:val="center"/>
          </w:tcPr>
          <w:p w14:paraId="709B2D44">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规格</w:t>
            </w:r>
          </w:p>
          <w:p w14:paraId="41240B11">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vAlign w:val="center"/>
          </w:tcPr>
          <w:p w14:paraId="54109965">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vAlign w:val="center"/>
          </w:tcPr>
          <w:p w14:paraId="61A20B39">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vAlign w:val="center"/>
          </w:tcPr>
          <w:p w14:paraId="3ECDBE88">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vAlign w:val="center"/>
          </w:tcPr>
          <w:p w14:paraId="0C3BE0AA">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偏离说明</w:t>
            </w:r>
          </w:p>
        </w:tc>
      </w:tr>
      <w:tr w14:paraId="3DFBA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vAlign w:val="center"/>
          </w:tcPr>
          <w:p w14:paraId="78616F6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XM2024-DZ0046</w:t>
            </w:r>
          </w:p>
        </w:tc>
        <w:tc>
          <w:tcPr>
            <w:tcW w:w="707" w:type="dxa"/>
            <w:vMerge w:val="restart"/>
            <w:tcBorders>
              <w:top w:val="single" w:color="auto" w:sz="4" w:space="0"/>
              <w:left w:val="single" w:color="auto" w:sz="4" w:space="0"/>
              <w:right w:val="single" w:color="auto" w:sz="4" w:space="0"/>
            </w:tcBorders>
            <w:vAlign w:val="center"/>
          </w:tcPr>
          <w:p w14:paraId="7023E93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2024年大宗高拍仪采购</w:t>
            </w:r>
          </w:p>
        </w:tc>
        <w:tc>
          <w:tcPr>
            <w:tcW w:w="709" w:type="dxa"/>
            <w:vMerge w:val="restart"/>
            <w:tcBorders>
              <w:top w:val="single" w:color="auto" w:sz="4" w:space="0"/>
              <w:left w:val="single" w:color="auto" w:sz="4" w:space="0"/>
              <w:right w:val="single" w:color="auto" w:sz="4" w:space="0"/>
            </w:tcBorders>
            <w:vAlign w:val="center"/>
          </w:tcPr>
          <w:p w14:paraId="3B129E7F">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14:paraId="73A37A60">
            <w:pPr>
              <w:spacing w:line="360" w:lineRule="auto"/>
              <w:jc w:val="left"/>
              <w:rPr>
                <w:rFonts w:ascii="宋体" w:hAnsi="宋体" w:cs="宋体"/>
                <w:color w:val="auto"/>
                <w:sz w:val="24"/>
                <w:szCs w:val="24"/>
                <w:highlight w:val="none"/>
              </w:rPr>
            </w:pPr>
            <w:r>
              <w:rPr>
                <w:rFonts w:ascii="宋体" w:hAnsi="宋体" w:cs="宋体"/>
                <w:color w:val="auto"/>
                <w:sz w:val="24"/>
                <w:szCs w:val="24"/>
                <w:highlight w:val="none"/>
              </w:rPr>
              <w:t>二</w:t>
            </w:r>
            <w:r>
              <w:rPr>
                <w:rFonts w:hint="eastAsia" w:ascii="宋体" w:hAnsi="宋体" w:cs="宋体"/>
                <w:color w:val="auto"/>
                <w:sz w:val="24"/>
                <w:szCs w:val="24"/>
                <w:highlight w:val="none"/>
              </w:rPr>
              <w:t>、</w:t>
            </w:r>
            <w:r>
              <w:rPr>
                <w:rFonts w:hint="eastAsia" w:ascii="宋体" w:hAnsi="宋体" w:cs="宋体"/>
                <w:b/>
                <w:color w:val="auto"/>
                <w:sz w:val="24"/>
                <w:szCs w:val="24"/>
                <w:highlight w:val="none"/>
              </w:rPr>
              <w:t>主要技术参数及要求（详见第三章）</w:t>
            </w:r>
          </w:p>
        </w:tc>
        <w:tc>
          <w:tcPr>
            <w:tcW w:w="779" w:type="dxa"/>
            <w:tcBorders>
              <w:top w:val="single" w:color="auto" w:sz="4" w:space="0"/>
              <w:left w:val="single" w:color="auto" w:sz="4" w:space="0"/>
              <w:bottom w:val="single" w:color="auto" w:sz="4" w:space="0"/>
              <w:right w:val="single" w:color="auto" w:sz="4" w:space="0"/>
            </w:tcBorders>
            <w:vAlign w:val="center"/>
          </w:tcPr>
          <w:p w14:paraId="634A4E56">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14:paraId="41FBDF7B">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14:paraId="3BA92504">
            <w:pPr>
              <w:spacing w:line="360" w:lineRule="auto"/>
              <w:jc w:val="center"/>
              <w:rPr>
                <w:rFonts w:ascii="宋体" w:hAnsi="宋体" w:cs="宋体"/>
                <w:color w:val="auto"/>
                <w:sz w:val="24"/>
                <w:szCs w:val="24"/>
                <w:highlight w:val="none"/>
              </w:rPr>
            </w:pPr>
          </w:p>
        </w:tc>
      </w:tr>
      <w:tr w14:paraId="44EF0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14:paraId="3BE5A7EC">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14:paraId="71F601E5">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14:paraId="56C4E05B">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14:paraId="2D3A7CD2">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三、</w:t>
            </w:r>
            <w:r>
              <w:rPr>
                <w:rFonts w:cs="Times New Roman" w:asciiTheme="minorEastAsia" w:hAnsiTheme="minorEastAsia" w:eastAsiaTheme="minorEastAsia"/>
                <w:color w:val="auto"/>
                <w:sz w:val="24"/>
                <w:szCs w:val="24"/>
                <w:highlight w:val="none"/>
              </w:rPr>
              <w:t>2、投标人需提供企业供货、履约能力基本情况的说明。</w:t>
            </w:r>
          </w:p>
        </w:tc>
        <w:tc>
          <w:tcPr>
            <w:tcW w:w="779" w:type="dxa"/>
            <w:tcBorders>
              <w:top w:val="single" w:color="auto" w:sz="4" w:space="0"/>
              <w:left w:val="single" w:color="auto" w:sz="4" w:space="0"/>
              <w:bottom w:val="single" w:color="auto" w:sz="4" w:space="0"/>
              <w:right w:val="single" w:color="auto" w:sz="4" w:space="0"/>
            </w:tcBorders>
            <w:vAlign w:val="center"/>
          </w:tcPr>
          <w:p w14:paraId="260C9AD0">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14:paraId="18BBB721">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14:paraId="0859999C">
            <w:pPr>
              <w:spacing w:line="360" w:lineRule="auto"/>
              <w:jc w:val="center"/>
              <w:rPr>
                <w:rFonts w:ascii="宋体" w:hAnsi="宋体" w:cs="宋体"/>
                <w:color w:val="auto"/>
                <w:sz w:val="24"/>
                <w:szCs w:val="24"/>
                <w:highlight w:val="none"/>
              </w:rPr>
            </w:pPr>
          </w:p>
        </w:tc>
      </w:tr>
      <w:tr w14:paraId="53A50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14:paraId="5AA5AD88">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14:paraId="4DEBEA0B">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14:paraId="76645441">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14:paraId="46247A00">
            <w:pPr>
              <w:spacing w:line="360" w:lineRule="auto"/>
              <w:ind w:firstLine="0" w:firstLineChars="0"/>
              <w:rPr>
                <w:rFonts w:ascii="宋体" w:hAnsi="宋体" w:cs="宋体"/>
                <w:b/>
                <w:color w:val="auto"/>
                <w:sz w:val="24"/>
                <w:szCs w:val="24"/>
                <w:highlight w:val="none"/>
              </w:rPr>
            </w:pPr>
            <w:r>
              <w:rPr>
                <w:rFonts w:cs="Times New Roman" w:asciiTheme="minorEastAsia" w:hAnsiTheme="minorEastAsia" w:eastAsiaTheme="minorEastAsia"/>
                <w:color w:val="auto"/>
                <w:sz w:val="24"/>
                <w:szCs w:val="24"/>
                <w:highlight w:val="none"/>
              </w:rPr>
              <w:t>3、投标人应具有良好的商业信誉和健全的财务会计制度，具有履行合同所必需的货物和专业技术能力，有依法缴纳税收和社会保障资金的良好记录。</w:t>
            </w:r>
          </w:p>
        </w:tc>
        <w:tc>
          <w:tcPr>
            <w:tcW w:w="779" w:type="dxa"/>
            <w:tcBorders>
              <w:top w:val="single" w:color="auto" w:sz="4" w:space="0"/>
              <w:left w:val="single" w:color="auto" w:sz="4" w:space="0"/>
              <w:bottom w:val="single" w:color="auto" w:sz="4" w:space="0"/>
              <w:right w:val="single" w:color="auto" w:sz="4" w:space="0"/>
            </w:tcBorders>
            <w:vAlign w:val="center"/>
          </w:tcPr>
          <w:p w14:paraId="784F6F2A">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14:paraId="67B2B376">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14:paraId="2D0E9055">
            <w:pPr>
              <w:spacing w:line="360" w:lineRule="auto"/>
              <w:jc w:val="center"/>
              <w:rPr>
                <w:rFonts w:ascii="宋体" w:hAnsi="宋体" w:cs="宋体"/>
                <w:color w:val="auto"/>
                <w:sz w:val="24"/>
                <w:szCs w:val="24"/>
                <w:highlight w:val="none"/>
              </w:rPr>
            </w:pPr>
          </w:p>
        </w:tc>
      </w:tr>
      <w:tr w14:paraId="25D47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14:paraId="26E9028B">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14:paraId="686CE34D">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14:paraId="3887277C">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14:paraId="634AADCD">
            <w:pPr>
              <w:spacing w:line="360" w:lineRule="auto"/>
              <w:rPr>
                <w:rFonts w:ascii="宋体" w:hAnsi="宋体" w:cs="宋体"/>
                <w:b/>
                <w:color w:val="auto"/>
                <w:sz w:val="24"/>
                <w:szCs w:val="24"/>
                <w:highlight w:val="none"/>
              </w:rPr>
            </w:pPr>
            <w:r>
              <w:rPr>
                <w:rFonts w:cs="Times New Roman" w:asciiTheme="minorEastAsia" w:hAnsiTheme="minorEastAsia" w:eastAsiaTheme="minorEastAsia"/>
                <w:color w:val="auto"/>
                <w:sz w:val="24"/>
                <w:szCs w:val="24"/>
                <w:highlight w:val="none"/>
              </w:rPr>
              <w:t>4、投标人所投产品的制造厂商必须通过ISO9001质量体系认证及ISO14000环保体系认证。</w:t>
            </w:r>
          </w:p>
        </w:tc>
        <w:tc>
          <w:tcPr>
            <w:tcW w:w="779" w:type="dxa"/>
            <w:tcBorders>
              <w:top w:val="single" w:color="auto" w:sz="4" w:space="0"/>
              <w:left w:val="single" w:color="auto" w:sz="4" w:space="0"/>
              <w:bottom w:val="single" w:color="auto" w:sz="4" w:space="0"/>
              <w:right w:val="single" w:color="auto" w:sz="4" w:space="0"/>
            </w:tcBorders>
            <w:vAlign w:val="center"/>
          </w:tcPr>
          <w:p w14:paraId="678BD9B3">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14:paraId="6004EF7E">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14:paraId="62315B84">
            <w:pPr>
              <w:spacing w:line="360" w:lineRule="auto"/>
              <w:jc w:val="center"/>
              <w:rPr>
                <w:rFonts w:ascii="宋体" w:hAnsi="宋体" w:cs="宋体"/>
                <w:color w:val="auto"/>
                <w:sz w:val="24"/>
                <w:szCs w:val="24"/>
                <w:highlight w:val="none"/>
              </w:rPr>
            </w:pPr>
          </w:p>
        </w:tc>
      </w:tr>
      <w:tr w14:paraId="47803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14:paraId="38F1F7D8">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14:paraId="245C4401">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14:paraId="051CE045">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14:paraId="131DE813">
            <w:pPr>
              <w:tabs>
                <w:tab w:val="left" w:pos="624"/>
                <w:tab w:val="left" w:pos="2988"/>
                <w:tab w:val="left" w:pos="7849"/>
              </w:tabs>
              <w:spacing w:line="360" w:lineRule="auto"/>
              <w:ind w:firstLine="0" w:firstLineChars="0"/>
              <w:rPr>
                <w:rFonts w:ascii="宋体" w:hAnsi="宋体" w:cs="宋体"/>
                <w:b/>
                <w:color w:val="auto"/>
                <w:sz w:val="24"/>
                <w:szCs w:val="24"/>
                <w:highlight w:val="none"/>
              </w:rPr>
            </w:pPr>
            <w:r>
              <w:rPr>
                <w:rFonts w:cs="Times New Roman" w:asciiTheme="minorEastAsia" w:hAnsiTheme="minorEastAsia" w:eastAsiaTheme="minorEastAsia"/>
                <w:color w:val="auto"/>
                <w:sz w:val="24"/>
                <w:szCs w:val="24"/>
                <w:highlight w:val="none"/>
              </w:rPr>
              <w:t>5、投标产品的制造厂商应在厦门设有常驻的维修保养机构，能保证定期对货物巡检；并在投标文件中详细介绍和提供维修保养机构的相关资料，如响应时间、维修保养机构的具体地点、联系电话、传真等。</w:t>
            </w:r>
          </w:p>
        </w:tc>
        <w:tc>
          <w:tcPr>
            <w:tcW w:w="779" w:type="dxa"/>
            <w:tcBorders>
              <w:top w:val="single" w:color="auto" w:sz="4" w:space="0"/>
              <w:left w:val="single" w:color="auto" w:sz="4" w:space="0"/>
              <w:bottom w:val="single" w:color="auto" w:sz="4" w:space="0"/>
              <w:right w:val="single" w:color="auto" w:sz="4" w:space="0"/>
            </w:tcBorders>
            <w:vAlign w:val="center"/>
          </w:tcPr>
          <w:p w14:paraId="435FC00C">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14:paraId="2B6008F7">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14:paraId="2331151D">
            <w:pPr>
              <w:spacing w:line="360" w:lineRule="auto"/>
              <w:jc w:val="center"/>
              <w:rPr>
                <w:rFonts w:ascii="宋体" w:hAnsi="宋体" w:cs="宋体"/>
                <w:color w:val="auto"/>
                <w:sz w:val="24"/>
                <w:szCs w:val="24"/>
                <w:highlight w:val="none"/>
              </w:rPr>
            </w:pPr>
          </w:p>
        </w:tc>
      </w:tr>
      <w:tr w14:paraId="46856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14:paraId="5002F557">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14:paraId="1F5D565F">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14:paraId="1F64E50D">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14:paraId="51FE9BF7">
            <w:pPr>
              <w:spacing w:line="360" w:lineRule="auto"/>
              <w:ind w:firstLine="0" w:firstLineChars="0"/>
              <w:rPr>
                <w:rFonts w:ascii="宋体" w:hAnsi="宋体" w:cs="宋体"/>
                <w:b/>
                <w:color w:val="auto"/>
                <w:sz w:val="24"/>
                <w:szCs w:val="24"/>
                <w:highlight w:val="none"/>
              </w:rPr>
            </w:pPr>
            <w:r>
              <w:rPr>
                <w:rFonts w:cs="Times New Roman" w:asciiTheme="minorEastAsia" w:hAnsiTheme="minorEastAsia" w:eastAsiaTheme="minorEastAsia"/>
                <w:color w:val="auto"/>
                <w:sz w:val="24"/>
                <w:szCs w:val="24"/>
                <w:highlight w:val="none"/>
              </w:rPr>
              <w:t xml:space="preserve">6、投标人应在投标文件中提供所投设备详细的配置、技术参数指标, </w:t>
            </w:r>
            <w:r>
              <w:rPr>
                <w:rFonts w:hint="eastAsia" w:cs="Times New Roman" w:asciiTheme="minorEastAsia" w:hAnsiTheme="minorEastAsia" w:eastAsiaTheme="minorEastAsia"/>
                <w:color w:val="auto"/>
                <w:sz w:val="24"/>
                <w:szCs w:val="24"/>
                <w:highlight w:val="none"/>
              </w:rPr>
              <w:t>执行标准，文字资料、彩图或彩页</w:t>
            </w:r>
            <w:r>
              <w:rPr>
                <w:rFonts w:cs="Times New Roman" w:asciiTheme="minorEastAsia" w:hAnsiTheme="minorEastAsia" w:eastAsiaTheme="minorEastAsia"/>
                <w:color w:val="auto"/>
                <w:sz w:val="24"/>
                <w:szCs w:val="24"/>
                <w:highlight w:val="none"/>
              </w:rPr>
              <w:t xml:space="preserve">, </w:t>
            </w:r>
            <w:r>
              <w:rPr>
                <w:rFonts w:hint="eastAsia" w:cs="Times New Roman" w:asciiTheme="minorEastAsia" w:hAnsiTheme="minorEastAsia" w:eastAsiaTheme="minorEastAsia"/>
                <w:color w:val="auto"/>
                <w:sz w:val="24"/>
                <w:szCs w:val="24"/>
                <w:highlight w:val="none"/>
              </w:rPr>
              <w:t>注明投标货物的产地、品牌、规格型号以及相应的技术、性能等。</w:t>
            </w:r>
          </w:p>
        </w:tc>
        <w:tc>
          <w:tcPr>
            <w:tcW w:w="779" w:type="dxa"/>
            <w:tcBorders>
              <w:top w:val="single" w:color="auto" w:sz="4" w:space="0"/>
              <w:left w:val="single" w:color="auto" w:sz="4" w:space="0"/>
              <w:bottom w:val="single" w:color="auto" w:sz="4" w:space="0"/>
              <w:right w:val="single" w:color="auto" w:sz="4" w:space="0"/>
            </w:tcBorders>
            <w:vAlign w:val="center"/>
          </w:tcPr>
          <w:p w14:paraId="3E079C42">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14:paraId="5C4B481F">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14:paraId="3E35BAEC">
            <w:pPr>
              <w:spacing w:line="360" w:lineRule="auto"/>
              <w:jc w:val="center"/>
              <w:rPr>
                <w:rFonts w:ascii="宋体" w:hAnsi="宋体" w:cs="宋体"/>
                <w:color w:val="auto"/>
                <w:sz w:val="24"/>
                <w:szCs w:val="24"/>
                <w:highlight w:val="none"/>
              </w:rPr>
            </w:pPr>
          </w:p>
        </w:tc>
      </w:tr>
      <w:tr w14:paraId="66C75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14:paraId="2E6395A4">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14:paraId="4C072476">
            <w:pPr>
              <w:spacing w:line="360" w:lineRule="auto"/>
              <w:jc w:val="center"/>
              <w:rPr>
                <w:rFonts w:ascii="宋体" w:hAnsi="宋体" w:cs="宋体"/>
                <w:color w:val="auto"/>
                <w:sz w:val="24"/>
                <w:szCs w:val="24"/>
                <w:highlight w:val="none"/>
              </w:rPr>
            </w:pPr>
          </w:p>
        </w:tc>
        <w:tc>
          <w:tcPr>
            <w:tcW w:w="709" w:type="dxa"/>
            <w:vMerge w:val="continue"/>
            <w:tcBorders>
              <w:left w:val="single" w:color="auto" w:sz="4" w:space="0"/>
              <w:right w:val="single" w:color="auto" w:sz="4" w:space="0"/>
            </w:tcBorders>
            <w:vAlign w:val="center"/>
          </w:tcPr>
          <w:p w14:paraId="1197E2F3">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14:paraId="66989193">
            <w:pPr>
              <w:spacing w:line="360" w:lineRule="auto"/>
              <w:ind w:firstLine="0" w:firstLineChars="0"/>
              <w:rPr>
                <w:rFonts w:ascii="宋体" w:hAnsi="宋体" w:cs="宋体"/>
                <w:b/>
                <w:color w:val="auto"/>
                <w:sz w:val="24"/>
                <w:szCs w:val="24"/>
                <w:highlight w:val="none"/>
              </w:rPr>
            </w:pPr>
            <w:r>
              <w:rPr>
                <w:rFonts w:cs="Times New Roman" w:asciiTheme="minorEastAsia" w:hAnsiTheme="minorEastAsia" w:eastAsiaTheme="minorEastAsia"/>
                <w:color w:val="auto"/>
                <w:sz w:val="24"/>
                <w:szCs w:val="24"/>
                <w:highlight w:val="none"/>
              </w:rPr>
              <w:t>7、投标人应提供能证明其货物制造商实力、货物品质的有关文件资料。</w:t>
            </w:r>
          </w:p>
        </w:tc>
        <w:tc>
          <w:tcPr>
            <w:tcW w:w="779" w:type="dxa"/>
            <w:tcBorders>
              <w:top w:val="single" w:color="auto" w:sz="4" w:space="0"/>
              <w:left w:val="single" w:color="auto" w:sz="4" w:space="0"/>
              <w:bottom w:val="single" w:color="auto" w:sz="4" w:space="0"/>
              <w:right w:val="single" w:color="auto" w:sz="4" w:space="0"/>
            </w:tcBorders>
            <w:vAlign w:val="center"/>
          </w:tcPr>
          <w:p w14:paraId="659C6E5A">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14:paraId="1863FCEB">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14:paraId="032A343D">
            <w:pPr>
              <w:spacing w:line="360" w:lineRule="auto"/>
              <w:jc w:val="center"/>
              <w:rPr>
                <w:rFonts w:ascii="宋体" w:hAnsi="宋体" w:cs="宋体"/>
                <w:color w:val="auto"/>
                <w:sz w:val="24"/>
                <w:szCs w:val="24"/>
                <w:highlight w:val="none"/>
              </w:rPr>
            </w:pPr>
          </w:p>
        </w:tc>
      </w:tr>
      <w:tr w14:paraId="3681D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vAlign w:val="center"/>
          </w:tcPr>
          <w:p w14:paraId="636E5C13">
            <w:pPr>
              <w:spacing w:line="360" w:lineRule="auto"/>
              <w:rPr>
                <w:rFonts w:ascii="宋体" w:hAnsi="宋体" w:cs="宋体"/>
                <w:color w:val="auto"/>
                <w:sz w:val="24"/>
                <w:szCs w:val="24"/>
                <w:highlight w:val="none"/>
              </w:rPr>
            </w:pPr>
          </w:p>
        </w:tc>
        <w:tc>
          <w:tcPr>
            <w:tcW w:w="707" w:type="dxa"/>
            <w:vMerge w:val="continue"/>
            <w:tcBorders>
              <w:left w:val="single" w:color="auto" w:sz="4" w:space="0"/>
              <w:right w:val="single" w:color="auto" w:sz="4" w:space="0"/>
            </w:tcBorders>
            <w:vAlign w:val="center"/>
          </w:tcPr>
          <w:p w14:paraId="1D540913">
            <w:pPr>
              <w:spacing w:line="360" w:lineRule="auto"/>
              <w:jc w:val="center"/>
              <w:rPr>
                <w:rFonts w:ascii="宋体" w:hAnsi="宋体" w:cs="宋体"/>
                <w:color w:val="auto"/>
                <w:sz w:val="24"/>
                <w:szCs w:val="24"/>
                <w:highlight w:val="none"/>
              </w:rPr>
            </w:pPr>
          </w:p>
        </w:tc>
        <w:tc>
          <w:tcPr>
            <w:tcW w:w="709" w:type="dxa"/>
            <w:tcBorders>
              <w:top w:val="single" w:color="auto" w:sz="4" w:space="0"/>
              <w:left w:val="single" w:color="auto" w:sz="4" w:space="0"/>
              <w:right w:val="single" w:color="auto" w:sz="4" w:space="0"/>
            </w:tcBorders>
            <w:vAlign w:val="center"/>
          </w:tcPr>
          <w:p w14:paraId="56E20208">
            <w:pPr>
              <w:spacing w:line="360" w:lineRule="auto"/>
              <w:jc w:val="center"/>
              <w:rPr>
                <w:rFonts w:ascii="宋体" w:hAnsi="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tcPr>
          <w:p w14:paraId="202A75BA">
            <w:pPr>
              <w:spacing w:line="360" w:lineRule="auto"/>
              <w:jc w:val="left"/>
              <w:rPr>
                <w:rFonts w:ascii="宋体" w:hAnsi="宋体" w:cs="宋体"/>
                <w:color w:val="auto"/>
                <w:sz w:val="24"/>
                <w:szCs w:val="24"/>
                <w:highlight w:val="none"/>
              </w:rPr>
            </w:pPr>
            <w:r>
              <w:rPr>
                <w:rFonts w:cs="Times New Roman" w:asciiTheme="minorEastAsia" w:hAnsiTheme="minorEastAsia" w:eastAsiaTheme="minorEastAsia"/>
                <w:color w:val="auto"/>
                <w:sz w:val="24"/>
                <w:szCs w:val="24"/>
                <w:highlight w:val="none"/>
              </w:rPr>
              <w:t>8、投标人应在投标文件中列表对招标文件第二部分中的技术商务评分条款进行一对一的响应说明。</w:t>
            </w:r>
          </w:p>
        </w:tc>
        <w:tc>
          <w:tcPr>
            <w:tcW w:w="779" w:type="dxa"/>
            <w:tcBorders>
              <w:top w:val="single" w:color="auto" w:sz="4" w:space="0"/>
              <w:left w:val="single" w:color="auto" w:sz="4" w:space="0"/>
              <w:bottom w:val="single" w:color="auto" w:sz="4" w:space="0"/>
              <w:right w:val="single" w:color="auto" w:sz="4" w:space="0"/>
            </w:tcBorders>
            <w:vAlign w:val="center"/>
          </w:tcPr>
          <w:p w14:paraId="727237D3">
            <w:pPr>
              <w:spacing w:line="360" w:lineRule="auto"/>
              <w:jc w:val="center"/>
              <w:rPr>
                <w:rFonts w:ascii="宋体" w:hAnsi="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vAlign w:val="center"/>
          </w:tcPr>
          <w:p w14:paraId="668B7A59">
            <w:pPr>
              <w:spacing w:line="360" w:lineRule="auto"/>
              <w:jc w:val="center"/>
              <w:rPr>
                <w:rFonts w:ascii="宋体" w:hAnsi="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vAlign w:val="center"/>
          </w:tcPr>
          <w:p w14:paraId="155F5F60">
            <w:pPr>
              <w:spacing w:line="360" w:lineRule="auto"/>
              <w:jc w:val="center"/>
              <w:rPr>
                <w:rFonts w:ascii="宋体" w:hAnsi="宋体" w:cs="宋体"/>
                <w:color w:val="auto"/>
                <w:sz w:val="24"/>
                <w:szCs w:val="24"/>
                <w:highlight w:val="none"/>
              </w:rPr>
            </w:pPr>
          </w:p>
        </w:tc>
      </w:tr>
    </w:tbl>
    <w:p w14:paraId="63DDE8D9">
      <w:pPr>
        <w:spacing w:line="360" w:lineRule="auto"/>
        <w:rPr>
          <w:rFonts w:ascii="宋体" w:hAnsi="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04BA66D8">
      <w:pPr>
        <w:spacing w:line="360" w:lineRule="auto"/>
        <w:jc w:val="center"/>
        <w:rPr>
          <w:rFonts w:ascii="宋体" w:hAnsi="宋体" w:cs="宋体"/>
          <w:b/>
          <w:color w:val="auto"/>
          <w:sz w:val="32"/>
          <w:szCs w:val="32"/>
          <w:highlight w:val="none"/>
        </w:rPr>
      </w:pPr>
      <w:r>
        <w:rPr>
          <w:rFonts w:hint="eastAsia" w:ascii="宋体" w:hAnsi="宋体" w:cs="宋体"/>
          <w:b/>
          <w:bCs/>
          <w:color w:val="auto"/>
          <w:sz w:val="32"/>
          <w:szCs w:val="32"/>
          <w:highlight w:val="none"/>
        </w:rPr>
        <w:t>第四章</w:t>
      </w:r>
      <w:r>
        <w:rPr>
          <w:rFonts w:hint="eastAsia" w:ascii="宋体" w:hAnsi="宋体" w:cs="宋体"/>
          <w:b/>
          <w:color w:val="auto"/>
          <w:sz w:val="32"/>
          <w:szCs w:val="32"/>
          <w:highlight w:val="none"/>
        </w:rPr>
        <w:t xml:space="preserve">  政府采购合同</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59F97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0" w:hRule="atLeast"/>
        </w:trPr>
        <w:tc>
          <w:tcPr>
            <w:tcW w:w="8099" w:type="dxa"/>
          </w:tcPr>
          <w:p w14:paraId="07A813E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14:paraId="7636E939">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7F28B4CD">
      <w:pPr>
        <w:spacing w:line="420" w:lineRule="exact"/>
        <w:jc w:val="center"/>
        <w:rPr>
          <w:rFonts w:ascii="宋体" w:hAnsi="宋体"/>
          <w:b/>
          <w:bCs/>
          <w:color w:val="auto"/>
          <w:sz w:val="32"/>
          <w:szCs w:val="32"/>
          <w:highlight w:val="none"/>
        </w:rPr>
      </w:pPr>
      <w:r>
        <w:rPr>
          <w:rFonts w:hint="eastAsia" w:ascii="宋体" w:hAnsi="宋体"/>
          <w:b/>
          <w:bCs/>
          <w:color w:val="auto"/>
          <w:sz w:val="32"/>
          <w:szCs w:val="32"/>
          <w:highlight w:val="none"/>
        </w:rPr>
        <w:t>采购合同</w:t>
      </w:r>
    </w:p>
    <w:p w14:paraId="3E3BEAB6">
      <w:pPr>
        <w:spacing w:line="360" w:lineRule="auto"/>
        <w:ind w:left="-284"/>
        <w:rPr>
          <w:color w:val="auto"/>
          <w:highlight w:val="none"/>
        </w:rPr>
      </w:pPr>
    </w:p>
    <w:p w14:paraId="03CA32A9">
      <w:pPr>
        <w:spacing w:line="360" w:lineRule="auto"/>
        <w:ind w:left="-284"/>
        <w:rPr>
          <w:rFonts w:ascii="宋体" w:hAnsi="宋体"/>
          <w:color w:val="auto"/>
          <w:sz w:val="24"/>
          <w:highlight w:val="none"/>
        </w:rPr>
      </w:pPr>
      <w:r>
        <w:rPr>
          <w:rFonts w:hint="eastAsia" w:ascii="宋体" w:hAnsi="宋体"/>
          <w:color w:val="auto"/>
          <w:sz w:val="24"/>
          <w:highlight w:val="none"/>
        </w:rPr>
        <w:t>合同编号：</w:t>
      </w:r>
    </w:p>
    <w:p w14:paraId="62DBE825">
      <w:pPr>
        <w:spacing w:line="360" w:lineRule="auto"/>
        <w:jc w:val="left"/>
        <w:rPr>
          <w:rFonts w:ascii="宋体" w:hAnsi="宋体"/>
          <w:color w:val="auto"/>
          <w:sz w:val="24"/>
          <w:highlight w:val="none"/>
        </w:rPr>
      </w:pPr>
      <w:r>
        <w:rPr>
          <w:rFonts w:hint="eastAsia" w:ascii="宋体" w:hAnsi="宋体"/>
          <w:color w:val="auto"/>
          <w:sz w:val="24"/>
          <w:highlight w:val="none"/>
        </w:rPr>
        <w:t>买方：厦门万翔网络商务有限公司                签订地点：</w:t>
      </w:r>
    </w:p>
    <w:p w14:paraId="2E0B829E">
      <w:pPr>
        <w:spacing w:line="360" w:lineRule="auto"/>
        <w:jc w:val="left"/>
        <w:rPr>
          <w:rFonts w:ascii="宋体" w:hAnsi="宋体"/>
          <w:color w:val="auto"/>
          <w:sz w:val="24"/>
          <w:highlight w:val="none"/>
        </w:rPr>
      </w:pPr>
      <w:r>
        <w:rPr>
          <w:rFonts w:hint="eastAsia" w:ascii="宋体" w:hAnsi="宋体"/>
          <w:color w:val="auto"/>
          <w:sz w:val="24"/>
          <w:highlight w:val="none"/>
        </w:rPr>
        <w:t>卖方：                                        签订日期：   年  月  日</w:t>
      </w:r>
    </w:p>
    <w:p w14:paraId="06A0542F">
      <w:pPr>
        <w:spacing w:line="360" w:lineRule="auto"/>
        <w:rPr>
          <w:rFonts w:ascii="宋体" w:hAnsi="宋体"/>
          <w:color w:val="auto"/>
          <w:sz w:val="24"/>
          <w:highlight w:val="none"/>
        </w:rPr>
      </w:pPr>
      <w:r>
        <w:rPr>
          <w:rFonts w:hint="eastAsia" w:ascii="宋体" w:hAnsi="宋体"/>
          <w:color w:val="auto"/>
          <w:sz w:val="24"/>
          <w:highlight w:val="none"/>
        </w:rPr>
        <w:t xml:space="preserve">    根据买方对</w:t>
      </w:r>
      <w:r>
        <w:rPr>
          <w:rFonts w:hint="eastAsia" w:ascii="宋体" w:hAnsi="宋体"/>
          <w:color w:val="auto"/>
          <w:sz w:val="24"/>
          <w:highlight w:val="none"/>
          <w:u w:val="single"/>
        </w:rPr>
        <w:t xml:space="preserve"> 高拍仪 </w:t>
      </w:r>
      <w:r>
        <w:rPr>
          <w:rFonts w:hint="eastAsia" w:ascii="宋体" w:hAnsi="宋体"/>
          <w:color w:val="auto"/>
          <w:sz w:val="24"/>
          <w:highlight w:val="none"/>
        </w:rPr>
        <w:t>进行采购（招标/项目编号：）的采购结果，现依照招标（谈判）文件、投标（报价）文件及有关法律、法规、规章规定的内容，双方达成如下协议：</w:t>
      </w:r>
    </w:p>
    <w:p w14:paraId="50635691">
      <w:pPr>
        <w:numPr>
          <w:ilvl w:val="0"/>
          <w:numId w:val="3"/>
        </w:numPr>
        <w:spacing w:line="360" w:lineRule="auto"/>
        <w:rPr>
          <w:rFonts w:ascii="宋体" w:hAnsi="宋体"/>
          <w:b/>
          <w:color w:val="auto"/>
          <w:sz w:val="24"/>
          <w:highlight w:val="none"/>
        </w:rPr>
      </w:pPr>
      <w:r>
        <w:rPr>
          <w:rFonts w:hint="eastAsia" w:ascii="宋体" w:hAnsi="宋体"/>
          <w:b/>
          <w:color w:val="auto"/>
          <w:sz w:val="24"/>
          <w:highlight w:val="none"/>
        </w:rPr>
        <w:t>合同标的物和合同价格</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0"/>
        <w:gridCol w:w="2091"/>
        <w:gridCol w:w="2252"/>
        <w:gridCol w:w="2069"/>
      </w:tblGrid>
      <w:tr w14:paraId="1FF0A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1238" w:type="pct"/>
            <w:tcBorders>
              <w:bottom w:val="single" w:color="auto" w:sz="4" w:space="0"/>
            </w:tcBorders>
            <w:vAlign w:val="center"/>
          </w:tcPr>
          <w:p w14:paraId="77CC6AA2">
            <w:pPr>
              <w:spacing w:line="360" w:lineRule="auto"/>
              <w:jc w:val="center"/>
              <w:rPr>
                <w:rFonts w:ascii="宋体" w:hAnsi="宋体"/>
                <w:color w:val="auto"/>
                <w:sz w:val="24"/>
                <w:highlight w:val="none"/>
              </w:rPr>
            </w:pPr>
            <w:r>
              <w:rPr>
                <w:rFonts w:hint="eastAsia" w:ascii="宋体" w:hAnsi="宋体"/>
                <w:color w:val="auto"/>
                <w:sz w:val="24"/>
                <w:highlight w:val="none"/>
              </w:rPr>
              <w:t>产品名称</w:t>
            </w:r>
          </w:p>
        </w:tc>
        <w:tc>
          <w:tcPr>
            <w:tcW w:w="1227" w:type="pct"/>
            <w:tcBorders>
              <w:bottom w:val="single" w:color="auto" w:sz="4" w:space="0"/>
            </w:tcBorders>
            <w:vAlign w:val="center"/>
          </w:tcPr>
          <w:p w14:paraId="26C043A0">
            <w:pPr>
              <w:spacing w:line="360" w:lineRule="auto"/>
              <w:jc w:val="center"/>
              <w:rPr>
                <w:rFonts w:ascii="宋体" w:hAnsi="宋体"/>
                <w:color w:val="auto"/>
                <w:sz w:val="24"/>
                <w:highlight w:val="none"/>
              </w:rPr>
            </w:pPr>
            <w:r>
              <w:rPr>
                <w:rFonts w:hint="eastAsia" w:ascii="宋体" w:hAnsi="宋体"/>
                <w:color w:val="auto"/>
                <w:sz w:val="24"/>
                <w:highlight w:val="none"/>
              </w:rPr>
              <w:t>规格型号</w:t>
            </w:r>
          </w:p>
        </w:tc>
        <w:tc>
          <w:tcPr>
            <w:tcW w:w="1321" w:type="pct"/>
            <w:tcBorders>
              <w:bottom w:val="single" w:color="auto" w:sz="4" w:space="0"/>
            </w:tcBorders>
            <w:vAlign w:val="center"/>
          </w:tcPr>
          <w:p w14:paraId="07FEA4AD">
            <w:pPr>
              <w:spacing w:line="360" w:lineRule="auto"/>
              <w:jc w:val="center"/>
              <w:rPr>
                <w:rFonts w:ascii="宋体" w:hAnsi="宋体"/>
                <w:color w:val="auto"/>
                <w:sz w:val="24"/>
                <w:highlight w:val="none"/>
              </w:rPr>
            </w:pPr>
            <w:r>
              <w:rPr>
                <w:rFonts w:hint="eastAsia" w:ascii="宋体" w:hAnsi="宋体"/>
                <w:color w:val="auto"/>
                <w:sz w:val="24"/>
                <w:highlight w:val="none"/>
              </w:rPr>
              <w:t>制造商</w:t>
            </w:r>
          </w:p>
        </w:tc>
        <w:tc>
          <w:tcPr>
            <w:tcW w:w="1212" w:type="pct"/>
            <w:tcBorders>
              <w:bottom w:val="single" w:color="auto" w:sz="4" w:space="0"/>
            </w:tcBorders>
            <w:vAlign w:val="center"/>
          </w:tcPr>
          <w:p w14:paraId="63031495">
            <w:pPr>
              <w:spacing w:line="360" w:lineRule="auto"/>
              <w:jc w:val="center"/>
              <w:rPr>
                <w:rFonts w:ascii="宋体" w:hAnsi="宋体"/>
                <w:color w:val="auto"/>
                <w:sz w:val="24"/>
                <w:highlight w:val="none"/>
              </w:rPr>
            </w:pPr>
            <w:r>
              <w:rPr>
                <w:rFonts w:hint="eastAsia" w:ascii="宋体" w:hAnsi="宋体"/>
                <w:color w:val="auto"/>
                <w:sz w:val="24"/>
                <w:highlight w:val="none"/>
              </w:rPr>
              <w:t>单 价</w:t>
            </w:r>
          </w:p>
        </w:tc>
      </w:tr>
      <w:tr w14:paraId="055C1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1238" w:type="pct"/>
            <w:tcBorders>
              <w:bottom w:val="single" w:color="auto" w:sz="4" w:space="0"/>
            </w:tcBorders>
          </w:tcPr>
          <w:p w14:paraId="38C5B30C">
            <w:pPr>
              <w:spacing w:line="360" w:lineRule="auto"/>
              <w:rPr>
                <w:rFonts w:ascii="宋体" w:hAnsi="宋体"/>
                <w:color w:val="auto"/>
                <w:sz w:val="24"/>
                <w:highlight w:val="none"/>
              </w:rPr>
            </w:pPr>
          </w:p>
          <w:p w14:paraId="6AEE2575">
            <w:pPr>
              <w:spacing w:line="360" w:lineRule="auto"/>
              <w:rPr>
                <w:rFonts w:ascii="宋体" w:hAnsi="宋体"/>
                <w:color w:val="auto"/>
                <w:sz w:val="24"/>
                <w:highlight w:val="none"/>
              </w:rPr>
            </w:pPr>
          </w:p>
        </w:tc>
        <w:tc>
          <w:tcPr>
            <w:tcW w:w="1227" w:type="pct"/>
            <w:tcBorders>
              <w:bottom w:val="single" w:color="auto" w:sz="4" w:space="0"/>
            </w:tcBorders>
          </w:tcPr>
          <w:p w14:paraId="7D395691">
            <w:pPr>
              <w:spacing w:line="360" w:lineRule="auto"/>
              <w:rPr>
                <w:rFonts w:ascii="宋体" w:hAnsi="宋体"/>
                <w:color w:val="auto"/>
                <w:sz w:val="24"/>
                <w:highlight w:val="none"/>
              </w:rPr>
            </w:pPr>
          </w:p>
        </w:tc>
        <w:tc>
          <w:tcPr>
            <w:tcW w:w="1321" w:type="pct"/>
            <w:tcBorders>
              <w:bottom w:val="single" w:color="auto" w:sz="4" w:space="0"/>
            </w:tcBorders>
          </w:tcPr>
          <w:p w14:paraId="66A6781A">
            <w:pPr>
              <w:spacing w:line="360" w:lineRule="auto"/>
              <w:rPr>
                <w:rFonts w:ascii="宋体" w:hAnsi="宋体"/>
                <w:color w:val="auto"/>
                <w:sz w:val="24"/>
                <w:highlight w:val="none"/>
              </w:rPr>
            </w:pPr>
          </w:p>
        </w:tc>
        <w:tc>
          <w:tcPr>
            <w:tcW w:w="1212" w:type="pct"/>
            <w:tcBorders>
              <w:bottom w:val="single" w:color="auto" w:sz="4" w:space="0"/>
            </w:tcBorders>
          </w:tcPr>
          <w:p w14:paraId="345435F5">
            <w:pPr>
              <w:spacing w:line="360" w:lineRule="auto"/>
              <w:rPr>
                <w:rFonts w:ascii="宋体" w:hAnsi="宋体"/>
                <w:color w:val="auto"/>
                <w:sz w:val="24"/>
                <w:highlight w:val="none"/>
              </w:rPr>
            </w:pPr>
          </w:p>
        </w:tc>
      </w:tr>
      <w:tr w14:paraId="60133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1238" w:type="pct"/>
            <w:tcBorders>
              <w:bottom w:val="single" w:color="auto" w:sz="4" w:space="0"/>
            </w:tcBorders>
          </w:tcPr>
          <w:p w14:paraId="18B92CC2">
            <w:pPr>
              <w:spacing w:line="360" w:lineRule="auto"/>
              <w:rPr>
                <w:rFonts w:ascii="宋体" w:hAnsi="宋体"/>
                <w:color w:val="auto"/>
                <w:sz w:val="24"/>
                <w:highlight w:val="none"/>
              </w:rPr>
            </w:pPr>
          </w:p>
          <w:p w14:paraId="4FDD8FA8">
            <w:pPr>
              <w:spacing w:line="360" w:lineRule="auto"/>
              <w:rPr>
                <w:rFonts w:ascii="宋体" w:hAnsi="宋体"/>
                <w:color w:val="auto"/>
                <w:sz w:val="24"/>
                <w:highlight w:val="none"/>
              </w:rPr>
            </w:pPr>
          </w:p>
        </w:tc>
        <w:tc>
          <w:tcPr>
            <w:tcW w:w="1227" w:type="pct"/>
            <w:tcBorders>
              <w:bottom w:val="single" w:color="auto" w:sz="4" w:space="0"/>
            </w:tcBorders>
          </w:tcPr>
          <w:p w14:paraId="3AA850FA">
            <w:pPr>
              <w:spacing w:line="360" w:lineRule="auto"/>
              <w:rPr>
                <w:rFonts w:ascii="宋体" w:hAnsi="宋体"/>
                <w:color w:val="auto"/>
                <w:sz w:val="24"/>
                <w:highlight w:val="none"/>
              </w:rPr>
            </w:pPr>
          </w:p>
        </w:tc>
        <w:tc>
          <w:tcPr>
            <w:tcW w:w="1321" w:type="pct"/>
            <w:tcBorders>
              <w:bottom w:val="single" w:color="auto" w:sz="4" w:space="0"/>
            </w:tcBorders>
          </w:tcPr>
          <w:p w14:paraId="1169936F">
            <w:pPr>
              <w:spacing w:line="360" w:lineRule="auto"/>
              <w:rPr>
                <w:rFonts w:ascii="宋体" w:hAnsi="宋体"/>
                <w:color w:val="auto"/>
                <w:sz w:val="24"/>
                <w:highlight w:val="none"/>
              </w:rPr>
            </w:pPr>
          </w:p>
        </w:tc>
        <w:tc>
          <w:tcPr>
            <w:tcW w:w="1212" w:type="pct"/>
            <w:tcBorders>
              <w:bottom w:val="single" w:color="auto" w:sz="4" w:space="0"/>
            </w:tcBorders>
          </w:tcPr>
          <w:p w14:paraId="7CEEE962">
            <w:pPr>
              <w:spacing w:line="360" w:lineRule="auto"/>
              <w:rPr>
                <w:rFonts w:ascii="宋体" w:hAnsi="宋体"/>
                <w:color w:val="auto"/>
                <w:sz w:val="24"/>
                <w:highlight w:val="none"/>
              </w:rPr>
            </w:pPr>
          </w:p>
        </w:tc>
      </w:tr>
      <w:tr w14:paraId="5CB15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74" w:hRule="exact"/>
        </w:trPr>
        <w:tc>
          <w:tcPr>
            <w:tcW w:w="5000" w:type="pct"/>
            <w:gridSpan w:val="4"/>
            <w:tcBorders>
              <w:bottom w:val="single" w:color="auto" w:sz="4" w:space="0"/>
            </w:tcBorders>
          </w:tcPr>
          <w:p w14:paraId="0276856F">
            <w:pPr>
              <w:spacing w:line="360" w:lineRule="auto"/>
              <w:rPr>
                <w:rFonts w:ascii="宋体" w:hAnsi="宋体"/>
                <w:color w:val="auto"/>
                <w:szCs w:val="21"/>
                <w:highlight w:val="none"/>
              </w:rPr>
            </w:pPr>
            <w:r>
              <w:rPr>
                <w:rFonts w:hint="eastAsia" w:ascii="宋体" w:hAnsi="宋体"/>
                <w:color w:val="auto"/>
                <w:szCs w:val="21"/>
                <w:highlight w:val="none"/>
              </w:rPr>
              <w:t>备注：</w:t>
            </w:r>
          </w:p>
          <w:p w14:paraId="1ED40024">
            <w:pPr>
              <w:numPr>
                <w:ilvl w:val="0"/>
                <w:numId w:val="4"/>
              </w:numPr>
              <w:spacing w:line="360" w:lineRule="auto"/>
              <w:ind w:left="0"/>
              <w:rPr>
                <w:rFonts w:ascii="宋体" w:hAnsi="宋体"/>
                <w:color w:val="auto"/>
                <w:szCs w:val="21"/>
                <w:highlight w:val="none"/>
              </w:rPr>
            </w:pPr>
            <w:r>
              <w:rPr>
                <w:rFonts w:ascii="宋体" w:hAnsi="宋体"/>
                <w:color w:val="auto"/>
                <w:szCs w:val="21"/>
                <w:highlight w:val="none"/>
              </w:rPr>
              <w:t>1、合同单价为综合单价，包括货物供应、运输费用（含</w:t>
            </w:r>
            <w:r>
              <w:rPr>
                <w:rFonts w:hint="eastAsia" w:ascii="宋体" w:hAnsi="宋体" w:cs="宋体"/>
                <w:color w:val="auto"/>
                <w:szCs w:val="21"/>
                <w:highlight w:val="none"/>
              </w:rPr>
              <w:t>仓储操作及</w:t>
            </w:r>
            <w:r>
              <w:rPr>
                <w:rFonts w:ascii="宋体" w:hAnsi="宋体"/>
                <w:color w:val="auto"/>
                <w:szCs w:val="21"/>
                <w:highlight w:val="none"/>
              </w:rPr>
              <w:t>二次配送费用）、装卸费、保险费、采购保管、安装调试、产品检验检测、税收以及售后服务等一切费用</w:t>
            </w:r>
            <w:r>
              <w:rPr>
                <w:rFonts w:hint="eastAsia" w:ascii="宋体" w:hAnsi="宋体"/>
                <w:color w:val="auto"/>
                <w:szCs w:val="21"/>
                <w:highlight w:val="none"/>
              </w:rPr>
              <w:t>。上表数量为暂定数量，买方可根据实际需求情况对各规格型号的产品数量进行调整，买方将按实际最终验收合格的数量和综合单价进行结算。</w:t>
            </w:r>
          </w:p>
          <w:p w14:paraId="0EEB41D0">
            <w:pPr>
              <w:numPr>
                <w:ilvl w:val="0"/>
                <w:numId w:val="4"/>
              </w:numPr>
              <w:spacing w:line="360" w:lineRule="auto"/>
              <w:rPr>
                <w:rFonts w:ascii="宋体" w:hAnsi="宋体"/>
                <w:color w:val="auto"/>
                <w:szCs w:val="21"/>
                <w:highlight w:val="none"/>
              </w:rPr>
            </w:pPr>
            <w:r>
              <w:rPr>
                <w:rFonts w:hint="eastAsia" w:ascii="宋体" w:hAnsi="宋体"/>
                <w:color w:val="auto"/>
                <w:szCs w:val="21"/>
                <w:highlight w:val="none"/>
              </w:rPr>
              <w:t>销售范围：</w:t>
            </w:r>
            <w:r>
              <w:rPr>
                <w:rFonts w:hint="eastAsia" w:ascii="宋体" w:hAnsi="宋体" w:cs="宋体"/>
                <w:color w:val="auto"/>
                <w:szCs w:val="21"/>
                <w:highlight w:val="none"/>
              </w:rPr>
              <w:t>厦门市政府机关事业单位和福建省内其他终端用户</w:t>
            </w:r>
            <w:r>
              <w:rPr>
                <w:rFonts w:hint="eastAsia" w:ascii="宋体" w:hAnsi="宋体"/>
                <w:color w:val="auto"/>
                <w:szCs w:val="21"/>
                <w:highlight w:val="none"/>
              </w:rPr>
              <w:t>（下统称最终用户），买方有权向以上范围内的终端用户进行供货，卖方须提供相应的安装及售后服务保障，所需费用已包含在合同单价中。</w:t>
            </w:r>
          </w:p>
          <w:p w14:paraId="660FC608">
            <w:pPr>
              <w:spacing w:line="360" w:lineRule="auto"/>
              <w:rPr>
                <w:rFonts w:ascii="宋体" w:hAnsi="宋体"/>
                <w:color w:val="auto"/>
                <w:szCs w:val="21"/>
                <w:highlight w:val="none"/>
              </w:rPr>
            </w:pPr>
            <w:r>
              <w:rPr>
                <w:rFonts w:hint="eastAsia" w:ascii="宋体" w:hAnsi="宋体"/>
                <w:color w:val="auto"/>
                <w:szCs w:val="21"/>
                <w:highlight w:val="none"/>
              </w:rPr>
              <w:t>3、本合同有效期：1年，从  年 月 日至 年 月 日，若合同到期之日下一期采购合同尚未生效，合同自动顺延至下一期新的合同生效之日止。</w:t>
            </w:r>
          </w:p>
          <w:p w14:paraId="739CA544">
            <w:pPr>
              <w:spacing w:line="360" w:lineRule="auto"/>
              <w:rPr>
                <w:rFonts w:ascii="宋体" w:hAnsi="宋体"/>
                <w:color w:val="auto"/>
                <w:szCs w:val="21"/>
                <w:highlight w:val="none"/>
              </w:rPr>
            </w:pPr>
            <w:r>
              <w:rPr>
                <w:rFonts w:hint="eastAsia" w:ascii="宋体" w:hAnsi="宋体"/>
                <w:color w:val="auto"/>
                <w:szCs w:val="21"/>
                <w:highlight w:val="none"/>
              </w:rPr>
              <w:t>4、供货期间，遇合同型号价格下调，卖方应在2个工作日内将新的价格以书面形式告知买方，经买方确认后按最新价格进行供货并结算。买方有权要求卖方按照其他同类销售渠道及各主流网站（京东、苏宁易购、易迅、1号店、天猫）等的常规销售价格的最低价格再下浮5%以上作为合同货物的价格，如卖方拒绝调整或双方就价格调整无法协商一致的，卖方应按逾期天数，每日承担相当于履约保证金0.5%的违约金，同时买方有权终止本合同，不视为买方违约。</w:t>
            </w:r>
          </w:p>
          <w:p w14:paraId="3DF3F30C">
            <w:pPr>
              <w:spacing w:line="360" w:lineRule="auto"/>
              <w:rPr>
                <w:rFonts w:ascii="宋体"/>
                <w:b/>
                <w:color w:val="auto"/>
                <w:sz w:val="24"/>
                <w:highlight w:val="none"/>
              </w:rPr>
            </w:pPr>
            <w:r>
              <w:rPr>
                <w:rFonts w:hint="eastAsia" w:ascii="宋体" w:hAnsi="宋体"/>
                <w:color w:val="auto"/>
                <w:szCs w:val="21"/>
                <w:highlight w:val="none"/>
              </w:rPr>
              <w:t>5、</w:t>
            </w:r>
            <w:r>
              <w:rPr>
                <w:rFonts w:hint="eastAsia" w:ascii="宋体" w:hAnsi="宋体" w:cs="宋体"/>
                <w:color w:val="auto"/>
                <w:kern w:val="0"/>
                <w:highlight w:val="none"/>
              </w:rPr>
              <w:t>合同签订之日每三个月，买方可根据市场行情变化，与卖方就产品单价进行重新谈判。</w:t>
            </w:r>
          </w:p>
        </w:tc>
      </w:tr>
    </w:tbl>
    <w:p w14:paraId="5F5C1FB7">
      <w:pPr>
        <w:spacing w:line="360" w:lineRule="auto"/>
        <w:rPr>
          <w:rFonts w:ascii="宋体" w:hAnsi="宋体"/>
          <w:b/>
          <w:color w:val="auto"/>
          <w:sz w:val="24"/>
          <w:highlight w:val="none"/>
        </w:rPr>
      </w:pPr>
      <w:r>
        <w:rPr>
          <w:rFonts w:hint="eastAsia" w:ascii="宋体" w:hAnsi="宋体"/>
          <w:b/>
          <w:color w:val="auto"/>
          <w:sz w:val="24"/>
          <w:highlight w:val="none"/>
        </w:rPr>
        <w:t>2、交货方式</w:t>
      </w:r>
    </w:p>
    <w:p w14:paraId="2E81018F">
      <w:pPr>
        <w:spacing w:line="360" w:lineRule="auto"/>
        <w:rPr>
          <w:rFonts w:ascii="宋体" w:hAnsi="宋体"/>
          <w:color w:val="auto"/>
          <w:sz w:val="24"/>
          <w:szCs w:val="24"/>
          <w:highlight w:val="none"/>
        </w:rPr>
      </w:pPr>
      <w:r>
        <w:rPr>
          <w:rFonts w:hint="eastAsia" w:ascii="宋体" w:hAnsi="宋体"/>
          <w:color w:val="auto"/>
          <w:sz w:val="24"/>
          <w:highlight w:val="none"/>
        </w:rPr>
        <w:t>2.1交货方式：一般情况下，卖方应将货物送至买方仓库（福建省内指定地点）集中仓储，买方将有权直接委托第三方物流代为配送。特殊情况下，买方应将货物直接送至最终用户。具体按照《定货单》要求执行。</w:t>
      </w:r>
      <w:r>
        <w:rPr>
          <w:rFonts w:hint="eastAsia" w:ascii="宋体" w:hAnsi="宋体"/>
          <w:color w:val="auto"/>
          <w:sz w:val="24"/>
          <w:szCs w:val="24"/>
          <w:highlight w:val="none"/>
        </w:rPr>
        <w:t>双方授权《定货单》的业务人员为：</w:t>
      </w:r>
      <w:r>
        <w:rPr>
          <w:rFonts w:hint="eastAsia" w:ascii="宋体" w:hAnsi="宋体"/>
          <w:color w:val="auto"/>
          <w:sz w:val="24"/>
          <w:szCs w:val="24"/>
          <w:highlight w:val="none"/>
        </w:rPr>
        <w:br w:type="textWrapping"/>
      </w:r>
      <w:r>
        <w:rPr>
          <w:rFonts w:hint="eastAsia" w:ascii="宋体" w:hAnsi="宋体"/>
          <w:color w:val="auto"/>
          <w:sz w:val="24"/>
          <w:szCs w:val="24"/>
          <w:highlight w:val="none"/>
        </w:rPr>
        <w:t>买方指定人员：</w:t>
      </w:r>
    </w:p>
    <w:p w14:paraId="1470E58A">
      <w:pPr>
        <w:spacing w:line="360" w:lineRule="auto"/>
        <w:rPr>
          <w:rFonts w:ascii="宋体" w:hAnsi="宋体"/>
          <w:color w:val="auto"/>
          <w:sz w:val="24"/>
          <w:szCs w:val="24"/>
          <w:highlight w:val="none"/>
        </w:rPr>
      </w:pPr>
      <w:r>
        <w:rPr>
          <w:rFonts w:hint="eastAsia" w:ascii="宋体" w:hAnsi="宋体"/>
          <w:color w:val="auto"/>
          <w:sz w:val="24"/>
          <w:szCs w:val="24"/>
          <w:highlight w:val="none"/>
        </w:rPr>
        <w:t>联络信息：</w:t>
      </w:r>
    </w:p>
    <w:p w14:paraId="48DFAAE1">
      <w:pPr>
        <w:spacing w:line="360" w:lineRule="auto"/>
        <w:rPr>
          <w:rFonts w:ascii="宋体" w:hAnsi="宋体"/>
          <w:color w:val="auto"/>
          <w:sz w:val="24"/>
          <w:szCs w:val="24"/>
          <w:highlight w:val="none"/>
        </w:rPr>
      </w:pPr>
      <w:r>
        <w:rPr>
          <w:rFonts w:hint="eastAsia" w:ascii="宋体" w:hAnsi="宋体"/>
          <w:color w:val="auto"/>
          <w:sz w:val="24"/>
          <w:szCs w:val="24"/>
          <w:highlight w:val="none"/>
        </w:rPr>
        <w:t>卖方指定人员：</w:t>
      </w:r>
      <w:r>
        <w:rPr>
          <w:rFonts w:hint="eastAsia" w:ascii="宋体" w:hAnsi="宋体"/>
          <w:color w:val="auto"/>
          <w:sz w:val="24"/>
          <w:szCs w:val="24"/>
          <w:highlight w:val="none"/>
        </w:rPr>
        <w:br w:type="textWrapping"/>
      </w:r>
      <w:r>
        <w:rPr>
          <w:rFonts w:hint="eastAsia" w:ascii="宋体" w:hAnsi="宋体"/>
          <w:color w:val="auto"/>
          <w:sz w:val="24"/>
          <w:szCs w:val="24"/>
          <w:highlight w:val="none"/>
        </w:rPr>
        <w:t>联络信息：</w:t>
      </w:r>
    </w:p>
    <w:p w14:paraId="46F5B56F">
      <w:pPr>
        <w:spacing w:line="360" w:lineRule="auto"/>
        <w:rPr>
          <w:rFonts w:ascii="宋体"/>
          <w:color w:val="auto"/>
          <w:sz w:val="24"/>
          <w:highlight w:val="none"/>
        </w:rPr>
      </w:pPr>
      <w:r>
        <w:rPr>
          <w:rFonts w:hint="eastAsia" w:ascii="宋体" w:hAnsi="宋体"/>
          <w:color w:val="auto"/>
          <w:sz w:val="24"/>
          <w:szCs w:val="24"/>
          <w:highlight w:val="none"/>
        </w:rPr>
        <w:t>直送最终用户的，卖方应承担相应的运输费用。</w:t>
      </w:r>
    </w:p>
    <w:p w14:paraId="12FF0E43">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2.2 运输费用</w:t>
      </w:r>
    </w:p>
    <w:p w14:paraId="4159951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2.2.1货物送仓库后再送最终用户的，卖方除承担运送至买方仓库的运输费，还应同时承担从买方仓库运送至最终用户的</w:t>
      </w:r>
      <w:r>
        <w:rPr>
          <w:rFonts w:hint="eastAsia" w:ascii="宋体" w:hAnsi="宋体" w:cs="宋体"/>
          <w:color w:val="auto"/>
          <w:sz w:val="24"/>
          <w:szCs w:val="24"/>
          <w:highlight w:val="none"/>
        </w:rPr>
        <w:t>二次仓储操作及</w:t>
      </w:r>
      <w:r>
        <w:rPr>
          <w:rFonts w:hint="eastAsia" w:ascii="宋体" w:hAnsi="宋体"/>
          <w:color w:val="auto"/>
          <w:sz w:val="24"/>
          <w:highlight w:val="none"/>
        </w:rPr>
        <w:t>配送费用。</w:t>
      </w:r>
    </w:p>
    <w:p w14:paraId="7A4846D4">
      <w:pPr>
        <w:spacing w:line="360" w:lineRule="auto"/>
        <w:ind w:firstLine="480" w:firstLineChars="200"/>
        <w:rPr>
          <w:rFonts w:ascii="宋体" w:hAnsi="宋体"/>
          <w:b/>
          <w:color w:val="auto"/>
          <w:szCs w:val="21"/>
          <w:highlight w:val="none"/>
        </w:rPr>
      </w:pPr>
      <w:r>
        <w:rPr>
          <w:rFonts w:hint="eastAsia" w:ascii="宋体" w:hAnsi="宋体"/>
          <w:color w:val="auto"/>
          <w:sz w:val="24"/>
          <w:highlight w:val="none"/>
        </w:rPr>
        <w:t>2.2.2 货物直送最终用户的，卖方应承担相应的运输费用</w:t>
      </w:r>
      <w:r>
        <w:rPr>
          <w:rFonts w:hint="eastAsia" w:ascii="宋体" w:hAnsi="宋体"/>
          <w:b/>
          <w:color w:val="auto"/>
          <w:szCs w:val="21"/>
          <w:highlight w:val="none"/>
        </w:rPr>
        <w:t>；</w:t>
      </w:r>
    </w:p>
    <w:p w14:paraId="34E462B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2.3交货期</w:t>
      </w:r>
    </w:p>
    <w:p w14:paraId="367F0D9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2.3.1货物送仓库后再送最终用户的，除非《定货单》另有要求，卖方在接到买方《定货单》之日起</w:t>
      </w:r>
      <w:r>
        <w:rPr>
          <w:rFonts w:ascii="宋体" w:hAnsi="宋体" w:cs="宋体"/>
          <w:color w:val="auto"/>
          <w:sz w:val="24"/>
          <w:szCs w:val="24"/>
          <w:highlight w:val="none"/>
        </w:rPr>
        <w:t>最长不超过10个日历日</w:t>
      </w:r>
      <w:r>
        <w:rPr>
          <w:rFonts w:hint="eastAsia" w:ascii="宋体" w:hAnsi="宋体"/>
          <w:color w:val="auto"/>
          <w:sz w:val="24"/>
          <w:highlight w:val="none"/>
        </w:rPr>
        <w:t>之内货交买方仓库，买方将有权直接委托第三方物流代为配送，</w:t>
      </w:r>
      <w:r>
        <w:rPr>
          <w:rFonts w:hint="eastAsia" w:ascii="宋体" w:hAnsi="宋体" w:cs="宋体"/>
          <w:color w:val="auto"/>
          <w:sz w:val="24"/>
          <w:szCs w:val="24"/>
          <w:highlight w:val="none"/>
        </w:rPr>
        <w:t>二次仓储操作及</w:t>
      </w:r>
      <w:r>
        <w:rPr>
          <w:rFonts w:hint="eastAsia" w:ascii="宋体" w:hAnsi="宋体"/>
          <w:color w:val="auto"/>
          <w:sz w:val="24"/>
          <w:highlight w:val="none"/>
        </w:rPr>
        <w:t>配送费用由卖方直接向第三方物流支付。</w:t>
      </w:r>
    </w:p>
    <w:p w14:paraId="7C154A4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2.3.2直送最终用户的，除非《定货单》另有要求，否则卖方应在接到《定货单》后按照厦门市行政区域岛内24小时、岛外48小时将货物送至最终用户。</w:t>
      </w:r>
    </w:p>
    <w:p w14:paraId="5147477D">
      <w:pPr>
        <w:spacing w:line="360" w:lineRule="auto"/>
        <w:ind w:firstLine="480" w:firstLineChars="200"/>
        <w:rPr>
          <w:rFonts w:ascii="宋体"/>
          <w:color w:val="auto"/>
          <w:sz w:val="24"/>
          <w:highlight w:val="none"/>
        </w:rPr>
      </w:pPr>
      <w:r>
        <w:rPr>
          <w:rFonts w:hint="eastAsia" w:ascii="宋体" w:hAnsi="宋体"/>
          <w:color w:val="auto"/>
          <w:sz w:val="24"/>
          <w:highlight w:val="none"/>
        </w:rPr>
        <w:t>2.3.3买方将有权直接委托第三方物流代为配送，</w:t>
      </w:r>
      <w:r>
        <w:rPr>
          <w:rFonts w:hint="eastAsia" w:ascii="宋体" w:hAnsi="宋体" w:cs="宋体"/>
          <w:color w:val="auto"/>
          <w:sz w:val="24"/>
          <w:szCs w:val="24"/>
          <w:highlight w:val="none"/>
        </w:rPr>
        <w:t>二次仓储操作及</w:t>
      </w:r>
      <w:r>
        <w:rPr>
          <w:rFonts w:hint="eastAsia" w:ascii="宋体" w:hAnsi="宋体"/>
          <w:color w:val="auto"/>
          <w:sz w:val="24"/>
          <w:highlight w:val="none"/>
        </w:rPr>
        <w:t>配送费用由卖方直接向第三方物流支付。第三方物流</w:t>
      </w:r>
      <w:r>
        <w:rPr>
          <w:rFonts w:hint="eastAsia" w:ascii="宋体" w:hAnsi="宋体" w:cs="宋体"/>
          <w:color w:val="auto"/>
          <w:sz w:val="24"/>
          <w:szCs w:val="24"/>
          <w:highlight w:val="none"/>
        </w:rPr>
        <w:t>二次仓储操作及</w:t>
      </w:r>
      <w:r>
        <w:rPr>
          <w:rFonts w:hint="eastAsia" w:ascii="宋体" w:hAnsi="宋体"/>
          <w:color w:val="auto"/>
          <w:sz w:val="24"/>
          <w:highlight w:val="none"/>
        </w:rPr>
        <w:t>配送费用标准为：二次配送费用为</w:t>
      </w:r>
      <w:r>
        <w:rPr>
          <w:rFonts w:ascii="宋体" w:hAnsi="宋体"/>
          <w:color w:val="auto"/>
          <w:sz w:val="24"/>
          <w:highlight w:val="none"/>
        </w:rPr>
        <w:t>22元/台，仓储操作费8元/台。</w:t>
      </w:r>
      <w:r>
        <w:rPr>
          <w:rFonts w:hint="eastAsia" w:ascii="宋体" w:hAnsi="宋体"/>
          <w:color w:val="auto"/>
          <w:sz w:val="24"/>
          <w:highlight w:val="none"/>
        </w:rPr>
        <w:t>若卖方未向第三方物流支付</w:t>
      </w:r>
      <w:r>
        <w:rPr>
          <w:rFonts w:hint="eastAsia" w:ascii="宋体" w:hAnsi="宋体" w:cs="宋体"/>
          <w:color w:val="auto"/>
          <w:sz w:val="24"/>
          <w:szCs w:val="24"/>
          <w:highlight w:val="none"/>
        </w:rPr>
        <w:t>二次仓储操作及</w:t>
      </w:r>
      <w:r>
        <w:rPr>
          <w:rFonts w:hint="eastAsia" w:ascii="宋体" w:hAnsi="宋体"/>
          <w:color w:val="auto"/>
          <w:sz w:val="24"/>
          <w:highlight w:val="none"/>
        </w:rPr>
        <w:t>配送费用的，买方将代为支付，并从未付卖方款项中扣除。</w:t>
      </w:r>
    </w:p>
    <w:p w14:paraId="525A8B0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2.3.4供货过程中，若卖方出现暂时的配件型号变更或短缺等情况的，须提前书面通知买方，经买方书面同意后方可按变更后的型号供货，在买方同意之前，卖方仍应按《定货单》的要求供货。否则，按逾期交货处理。</w:t>
      </w:r>
    </w:p>
    <w:p w14:paraId="1D90B10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2.3.5在供货期内，若卖方有任何产品型号或配件升级变更，应提前书面通知买方相关信息（包括其升级产品型号、部件及详细配置方案），经买方书面同意后方可按升级后的产品（或配件）供货，价格按合同价执行，交货时间按2.3.1条执行；在买方同意之前，卖方仍应按《定货单》的要求供货。否则，按逾期交货处理。</w:t>
      </w:r>
      <w:r>
        <w:rPr>
          <w:rFonts w:hint="eastAsia" w:ascii="宋体" w:hAnsi="宋体" w:cs="宋体"/>
          <w:color w:val="auto"/>
          <w:kern w:val="0"/>
          <w:sz w:val="24"/>
          <w:szCs w:val="24"/>
          <w:highlight w:val="none"/>
          <w:shd w:val="clear" w:color="auto" w:fill="FFFFFF"/>
        </w:rPr>
        <w:t>若在合同期内卖方有任何产品型号或配件停产且无法提供符合买方要求的升级型号或配件则视为严重违约，卖方应按每款机型20000元向买方缴纳违约金，买方有权单方面解除采购合同，没收履约保证金并且有权与卖方之后第一位的中标候选供应商签订合同。</w:t>
      </w:r>
    </w:p>
    <w:p w14:paraId="3CFA6DB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2.3.6但凡要求卖方更换整机的，重新交货时间按2.3.1、3.6.2条执行。</w:t>
      </w:r>
    </w:p>
    <w:p w14:paraId="3A41A20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2.3.7卖方在收到《定货单》后应按买方要求加盖公章并以</w:t>
      </w:r>
      <w:r>
        <w:rPr>
          <w:rFonts w:hint="eastAsia" w:ascii="宋体" w:hAnsi="宋体" w:cs="宋体"/>
          <w:color w:val="auto"/>
          <w:sz w:val="24"/>
          <w:szCs w:val="24"/>
          <w:highlight w:val="none"/>
        </w:rPr>
        <w:t>扫描件</w:t>
      </w:r>
      <w:r>
        <w:rPr>
          <w:rFonts w:ascii="宋体" w:hAnsi="宋体"/>
          <w:color w:val="auto"/>
          <w:sz w:val="24"/>
          <w:highlight w:val="none"/>
        </w:rPr>
        <w:t>行</w:t>
      </w:r>
      <w:r>
        <w:rPr>
          <w:rFonts w:hint="eastAsia" w:ascii="宋体" w:hAnsi="宋体"/>
          <w:color w:val="auto"/>
          <w:sz w:val="24"/>
          <w:highlight w:val="none"/>
        </w:rPr>
        <w:t>式及时回复确认，但最迟不超过1个日历日。若《定货单》发出之日起1个日历日内卖方未按买方要求予以确认的，则卖方同意自第2个日历日起计算交货期。</w:t>
      </w:r>
    </w:p>
    <w:p w14:paraId="087F143E">
      <w:pPr>
        <w:spacing w:line="360" w:lineRule="auto"/>
        <w:rPr>
          <w:rFonts w:ascii="宋体" w:hAnsi="宋体"/>
          <w:b/>
          <w:color w:val="auto"/>
          <w:sz w:val="24"/>
          <w:highlight w:val="none"/>
        </w:rPr>
      </w:pPr>
      <w:r>
        <w:rPr>
          <w:rFonts w:ascii="宋体" w:hAnsi="宋体"/>
          <w:b/>
          <w:color w:val="auto"/>
          <w:sz w:val="24"/>
          <w:highlight w:val="none"/>
        </w:rPr>
        <w:t>3</w:t>
      </w:r>
      <w:r>
        <w:rPr>
          <w:rFonts w:hint="eastAsia" w:ascii="宋体" w:hAnsi="宋体"/>
          <w:b/>
          <w:color w:val="auto"/>
          <w:sz w:val="24"/>
          <w:highlight w:val="none"/>
        </w:rPr>
        <w:t>、供货清单</w:t>
      </w:r>
    </w:p>
    <w:p w14:paraId="0D0786C0">
      <w:pPr>
        <w:spacing w:line="360" w:lineRule="auto"/>
        <w:ind w:firstLine="480" w:firstLineChars="200"/>
        <w:rPr>
          <w:rFonts w:ascii="宋体" w:hAnsi="宋体"/>
          <w:color w:val="auto"/>
          <w:sz w:val="24"/>
          <w:highlight w:val="none"/>
        </w:rPr>
      </w:pPr>
      <w:r>
        <w:rPr>
          <w:rFonts w:ascii="宋体" w:hAnsi="宋体"/>
          <w:color w:val="auto"/>
          <w:sz w:val="24"/>
          <w:highlight w:val="none"/>
        </w:rPr>
        <w:t>3.1</w:t>
      </w:r>
      <w:r>
        <w:rPr>
          <w:rFonts w:hint="eastAsia" w:ascii="宋体" w:hAnsi="宋体"/>
          <w:color w:val="auto"/>
          <w:sz w:val="24"/>
          <w:highlight w:val="none"/>
        </w:rPr>
        <w:t>供货清单：包括产品主机、随机备品备件、专用工具的名称及数量。</w:t>
      </w:r>
    </w:p>
    <w:p w14:paraId="497ED9E8">
      <w:pPr>
        <w:spacing w:line="360" w:lineRule="auto"/>
        <w:rPr>
          <w:rFonts w:ascii="宋体" w:hAnsi="宋体"/>
          <w:b/>
          <w:color w:val="auto"/>
          <w:sz w:val="24"/>
          <w:highlight w:val="none"/>
        </w:rPr>
      </w:pPr>
      <w:r>
        <w:rPr>
          <w:rFonts w:hint="eastAsia" w:ascii="宋体" w:hAnsi="宋体"/>
          <w:b/>
          <w:color w:val="auto"/>
          <w:sz w:val="24"/>
          <w:highlight w:val="none"/>
        </w:rPr>
        <w:t>4、付款方式与条件</w:t>
      </w:r>
    </w:p>
    <w:p w14:paraId="16041DD7">
      <w:pPr>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4.1履约保证金</w:t>
      </w:r>
    </w:p>
    <w:p w14:paraId="5BED637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卖方应在合同签订之日起</w:t>
      </w:r>
      <w:r>
        <w:rPr>
          <w:rFonts w:ascii="宋体" w:hAnsi="宋体"/>
          <w:color w:val="auto"/>
          <w:sz w:val="24"/>
          <w:highlight w:val="none"/>
        </w:rPr>
        <w:t>7个日历日内向</w:t>
      </w:r>
      <w:r>
        <w:rPr>
          <w:rFonts w:hint="eastAsia" w:ascii="宋体" w:hAnsi="宋体"/>
          <w:color w:val="auto"/>
          <w:sz w:val="24"/>
          <w:highlight w:val="none"/>
        </w:rPr>
        <w:t>买方缴交中标</w:t>
      </w:r>
      <w:r>
        <w:rPr>
          <w:rFonts w:ascii="宋体" w:hAnsi="宋体"/>
          <w:color w:val="auto"/>
          <w:sz w:val="24"/>
          <w:highlight w:val="none"/>
        </w:rPr>
        <w:t>/成交总金额5%的履约保证金。</w:t>
      </w:r>
      <w:r>
        <w:rPr>
          <w:rFonts w:hint="eastAsia" w:ascii="宋体" w:hAnsi="宋体"/>
          <w:color w:val="auto"/>
          <w:sz w:val="24"/>
          <w:highlight w:val="none"/>
        </w:rPr>
        <w:t>中标供应商应在合同签订之日起</w:t>
      </w:r>
      <w:r>
        <w:rPr>
          <w:rFonts w:ascii="宋体" w:hAnsi="宋体"/>
          <w:color w:val="auto"/>
          <w:sz w:val="24"/>
          <w:highlight w:val="none"/>
        </w:rPr>
        <w:t>7个日历日内向采购单位提供中标/成交总金额5%的履约保证金。其中2.5%作为供货履约保证金，于本合同有效期满后最后</w:t>
      </w:r>
      <w:r>
        <w:rPr>
          <w:rFonts w:hint="eastAsia" w:ascii="宋体" w:hAnsi="宋体"/>
          <w:color w:val="auto"/>
          <w:sz w:val="24"/>
          <w:highlight w:val="none"/>
        </w:rPr>
        <w:t>一批次货物供货后</w:t>
      </w:r>
      <w:r>
        <w:rPr>
          <w:rFonts w:ascii="宋体" w:hAnsi="宋体"/>
          <w:color w:val="auto"/>
          <w:sz w:val="24"/>
          <w:highlight w:val="none"/>
        </w:rPr>
        <w:t>20个工作日内一次性无息付清（扣除相应的违约金、赔偿金）。2.5%作为售后履约</w:t>
      </w:r>
      <w:r>
        <w:rPr>
          <w:rFonts w:hint="eastAsia" w:ascii="宋体" w:hAnsi="宋体"/>
          <w:color w:val="auto"/>
          <w:sz w:val="24"/>
          <w:highlight w:val="none"/>
        </w:rPr>
        <w:t>保证金待本合同有效期内最后一批次货物保修期届满后</w:t>
      </w:r>
      <w:r>
        <w:rPr>
          <w:rFonts w:ascii="宋体" w:hAnsi="宋体"/>
          <w:color w:val="auto"/>
          <w:sz w:val="24"/>
          <w:highlight w:val="none"/>
        </w:rPr>
        <w:t>20个工作日内一次性无息付清（扣除相应的违约金、赔偿金）。</w:t>
      </w:r>
    </w:p>
    <w:p w14:paraId="575C25D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4.2买方按批次支付货款</w:t>
      </w:r>
    </w:p>
    <w:p w14:paraId="4C585F71">
      <w:pPr>
        <w:spacing w:line="360" w:lineRule="auto"/>
        <w:ind w:firstLine="480" w:firstLineChars="200"/>
        <w:rPr>
          <w:rFonts w:ascii="宋体" w:cs="Calibri"/>
          <w:color w:val="auto"/>
          <w:sz w:val="24"/>
          <w:szCs w:val="24"/>
          <w:highlight w:val="none"/>
        </w:rPr>
      </w:pPr>
      <w:r>
        <w:rPr>
          <w:rFonts w:hint="eastAsia" w:ascii="宋体" w:hAnsi="宋体" w:cs="宋体"/>
          <w:color w:val="auto"/>
          <w:sz w:val="24"/>
          <w:szCs w:val="24"/>
          <w:highlight w:val="none"/>
        </w:rPr>
        <w:t>4.2.1货物送仓库后再送最终用户的，货交买方仓库经买方初验合格后，买方凭如下单证和文件在</w:t>
      </w:r>
      <w:r>
        <w:rPr>
          <w:rFonts w:hint="eastAsia" w:ascii="宋体" w:hAnsi="宋体" w:cs="宋体"/>
          <w:color w:val="auto"/>
          <w:sz w:val="24"/>
          <w:szCs w:val="24"/>
          <w:highlight w:val="none"/>
          <w:u w:val="single"/>
        </w:rPr>
        <w:t>6个月</w:t>
      </w:r>
      <w:r>
        <w:rPr>
          <w:rFonts w:hint="eastAsia" w:ascii="宋体" w:hAnsi="宋体" w:cs="宋体"/>
          <w:color w:val="auto"/>
          <w:sz w:val="24"/>
          <w:szCs w:val="24"/>
          <w:highlight w:val="none"/>
        </w:rPr>
        <w:t>内向卖方一次性支付至该批次货款的</w:t>
      </w:r>
      <w:r>
        <w:rPr>
          <w:rFonts w:hint="eastAsia" w:ascii="宋体" w:hAnsi="宋体" w:cs="宋体"/>
          <w:color w:val="auto"/>
          <w:sz w:val="24"/>
          <w:szCs w:val="24"/>
          <w:highlight w:val="none"/>
          <w:u w:val="single"/>
        </w:rPr>
        <w:t xml:space="preserve">100 </w:t>
      </w:r>
      <w:r>
        <w:rPr>
          <w:rFonts w:hint="eastAsia" w:ascii="宋体" w:hAnsi="宋体" w:cs="宋体"/>
          <w:color w:val="auto"/>
          <w:sz w:val="24"/>
          <w:szCs w:val="24"/>
          <w:highlight w:val="none"/>
        </w:rPr>
        <w:t>%：</w:t>
      </w:r>
    </w:p>
    <w:p w14:paraId="79659A71">
      <w:pPr>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a.金额为</w:t>
      </w:r>
      <w:r>
        <w:rPr>
          <w:rFonts w:hint="eastAsia" w:ascii="宋体" w:hAnsi="宋体" w:cs="宋体"/>
          <w:color w:val="auto"/>
          <w:sz w:val="24"/>
          <w:szCs w:val="24"/>
          <w:highlight w:val="none"/>
          <w:u w:val="single"/>
        </w:rPr>
        <w:t>100%的该批次货款</w:t>
      </w:r>
      <w:r>
        <w:rPr>
          <w:rFonts w:hint="eastAsia" w:ascii="宋体" w:hAnsi="宋体" w:cs="宋体"/>
          <w:color w:val="auto"/>
          <w:sz w:val="24"/>
          <w:szCs w:val="24"/>
          <w:highlight w:val="none"/>
        </w:rPr>
        <w:t>的一般纳税人增值税专用发票；</w:t>
      </w:r>
    </w:p>
    <w:p w14:paraId="2401A53F">
      <w:pPr>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b.卖方已缴纳该批货物的中标/成交服务费的证明材料；</w:t>
      </w:r>
    </w:p>
    <w:p w14:paraId="73B5EC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c.买方已收讫的该批次货物的收货单。</w:t>
      </w:r>
    </w:p>
    <w:p w14:paraId="4CF2ED3B">
      <w:pPr>
        <w:spacing w:line="360" w:lineRule="auto"/>
        <w:ind w:firstLine="480" w:firstLineChars="200"/>
        <w:rPr>
          <w:rFonts w:ascii="宋体" w:cs="Calibri"/>
          <w:color w:val="auto"/>
          <w:sz w:val="24"/>
          <w:szCs w:val="24"/>
          <w:highlight w:val="none"/>
        </w:rPr>
      </w:pPr>
      <w:r>
        <w:rPr>
          <w:rFonts w:hint="eastAsia" w:ascii="宋体" w:hAnsi="宋体" w:cs="宋体"/>
          <w:color w:val="auto"/>
          <w:sz w:val="24"/>
          <w:szCs w:val="24"/>
          <w:highlight w:val="none"/>
        </w:rPr>
        <w:t>4.2.2货物直送最终用户的，该批次货物经安装调试完毕并经最终验收合格后，买方凭如下单证和文件在</w:t>
      </w:r>
      <w:r>
        <w:rPr>
          <w:rFonts w:hint="eastAsia" w:ascii="宋体" w:hAnsi="宋体" w:cs="宋体"/>
          <w:color w:val="auto"/>
          <w:sz w:val="24"/>
          <w:szCs w:val="24"/>
          <w:highlight w:val="none"/>
          <w:u w:val="single"/>
        </w:rPr>
        <w:t>6个月</w:t>
      </w:r>
      <w:r>
        <w:rPr>
          <w:rFonts w:hint="eastAsia" w:ascii="宋体" w:hAnsi="宋体" w:cs="宋体"/>
          <w:color w:val="auto"/>
          <w:sz w:val="24"/>
          <w:szCs w:val="24"/>
          <w:highlight w:val="none"/>
        </w:rPr>
        <w:t>内向卖方一次性付清该批次货款的全款。</w:t>
      </w:r>
    </w:p>
    <w:p w14:paraId="25EC375C">
      <w:pPr>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a.金额为</w:t>
      </w:r>
      <w:r>
        <w:rPr>
          <w:rFonts w:hint="eastAsia" w:ascii="宋体" w:hAnsi="宋体" w:cs="宋体"/>
          <w:color w:val="auto"/>
          <w:sz w:val="24"/>
          <w:szCs w:val="24"/>
          <w:highlight w:val="none"/>
          <w:u w:val="single"/>
        </w:rPr>
        <w:t>100%的该批次货款</w:t>
      </w:r>
      <w:r>
        <w:rPr>
          <w:rFonts w:hint="eastAsia" w:ascii="宋体" w:hAnsi="宋体" w:cs="宋体"/>
          <w:color w:val="auto"/>
          <w:sz w:val="24"/>
          <w:szCs w:val="24"/>
          <w:highlight w:val="none"/>
        </w:rPr>
        <w:t>的一般纳税人增值税专用发票；</w:t>
      </w:r>
    </w:p>
    <w:p w14:paraId="14C78238">
      <w:pPr>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b.卖方已缴纳该批货物的中标/成交服务费的证明材料；</w:t>
      </w:r>
    </w:p>
    <w:p w14:paraId="21EC141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c.该批次货物的《验收报告》(经最终用户签署)。</w:t>
      </w:r>
    </w:p>
    <w:p w14:paraId="568535DB">
      <w:pPr>
        <w:spacing w:line="360" w:lineRule="auto"/>
        <w:rPr>
          <w:rFonts w:ascii="宋体" w:hAnsi="宋体"/>
          <w:b/>
          <w:color w:val="auto"/>
          <w:sz w:val="24"/>
          <w:highlight w:val="none"/>
        </w:rPr>
      </w:pPr>
      <w:r>
        <w:rPr>
          <w:rFonts w:hint="eastAsia" w:ascii="宋体" w:hAnsi="宋体"/>
          <w:b/>
          <w:color w:val="auto"/>
          <w:sz w:val="24"/>
          <w:highlight w:val="none"/>
        </w:rPr>
        <w:t>5、质量要求和技术标准</w:t>
      </w:r>
    </w:p>
    <w:p w14:paraId="48235FA2">
      <w:pPr>
        <w:spacing w:line="360" w:lineRule="auto"/>
        <w:ind w:firstLine="480" w:firstLineChars="200"/>
        <w:rPr>
          <w:rFonts w:ascii="宋体" w:hAnsi="宋体" w:cs="宋体"/>
          <w:color w:val="auto"/>
          <w:sz w:val="24"/>
          <w:highlight w:val="none"/>
        </w:rPr>
      </w:pPr>
      <w:r>
        <w:rPr>
          <w:rFonts w:hint="eastAsia" w:ascii="宋体" w:hAnsi="宋体"/>
          <w:color w:val="auto"/>
          <w:sz w:val="24"/>
          <w:highlight w:val="none"/>
        </w:rPr>
        <w:t>质量条款可细分为产品质量、包装质量、技术</w:t>
      </w:r>
      <w:r>
        <w:rPr>
          <w:rFonts w:hint="eastAsia" w:ascii="宋体" w:hAnsi="宋体" w:cs="宋体"/>
          <w:color w:val="auto"/>
          <w:sz w:val="24"/>
          <w:highlight w:val="none"/>
        </w:rPr>
        <w:t>资料质量等内容。</w:t>
      </w:r>
    </w:p>
    <w:p w14:paraId="043D1E8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（质量要求和技术标准应按招标/谈判文件要求</w:t>
      </w:r>
      <w:r>
        <w:rPr>
          <w:rFonts w:hint="eastAsia" w:ascii="宋体" w:hAnsi="宋体" w:cs="宋体"/>
          <w:color w:val="auto"/>
          <w:sz w:val="24"/>
          <w:highlight w:val="none"/>
        </w:rPr>
        <w:t>填列</w:t>
      </w:r>
      <w:r>
        <w:rPr>
          <w:rFonts w:hint="eastAsia" w:ascii="宋体" w:hAnsi="宋体"/>
          <w:color w:val="auto"/>
          <w:sz w:val="24"/>
          <w:highlight w:val="none"/>
        </w:rPr>
        <w:t>。）</w:t>
      </w:r>
    </w:p>
    <w:p w14:paraId="62AE75E5">
      <w:pPr>
        <w:spacing w:line="360" w:lineRule="auto"/>
        <w:rPr>
          <w:rFonts w:ascii="宋体" w:hAnsi="宋体"/>
          <w:b/>
          <w:color w:val="auto"/>
          <w:sz w:val="24"/>
          <w:highlight w:val="none"/>
        </w:rPr>
      </w:pPr>
      <w:r>
        <w:rPr>
          <w:rFonts w:hint="eastAsia" w:ascii="宋体" w:hAnsi="宋体"/>
          <w:b/>
          <w:color w:val="auto"/>
          <w:sz w:val="24"/>
          <w:highlight w:val="none"/>
        </w:rPr>
        <w:t>6、验收标准及办法</w:t>
      </w:r>
    </w:p>
    <w:p w14:paraId="7F96903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6.1卖方承诺验收时（包括初验和最终验收），卖方必须派代表参加并确认验收结果，否则视为卖方对验收意见无异议。如该批次产品在最终验收时，出现开箱破损或者故障，无法进行最终验收的，卖方承诺无条件给予更换新机并保证最终验收的顺畅进行。若卖方不同意更换新机或者配合，买方有权直接于卖方的履约保证金中扣除该批次产品及安装的等额费用。该条款可能造成的成本费用包含在卖方的产品报价中。</w:t>
      </w:r>
    </w:p>
    <w:p w14:paraId="1093A4B1">
      <w:pPr>
        <w:spacing w:line="440" w:lineRule="exact"/>
        <w:ind w:firstLine="480" w:firstLineChars="200"/>
        <w:rPr>
          <w:rFonts w:ascii="宋体" w:hAnsi="宋体"/>
          <w:color w:val="auto"/>
          <w:sz w:val="24"/>
          <w:highlight w:val="none"/>
        </w:rPr>
      </w:pPr>
      <w:r>
        <w:rPr>
          <w:rFonts w:hint="eastAsia" w:ascii="宋体" w:hAnsi="宋体"/>
          <w:color w:val="auto"/>
          <w:sz w:val="24"/>
          <w:highlight w:val="none"/>
        </w:rPr>
        <w:t>6.2（按招标/谈判文件要求</w:t>
      </w:r>
      <w:r>
        <w:rPr>
          <w:rFonts w:hint="eastAsia" w:ascii="宋体" w:hAnsi="宋体" w:cs="宋体"/>
          <w:color w:val="auto"/>
          <w:sz w:val="24"/>
          <w:highlight w:val="none"/>
        </w:rPr>
        <w:t>填列</w:t>
      </w:r>
      <w:r>
        <w:rPr>
          <w:rFonts w:hint="eastAsia" w:ascii="宋体" w:hAnsi="宋体"/>
          <w:color w:val="auto"/>
          <w:sz w:val="24"/>
          <w:highlight w:val="none"/>
        </w:rPr>
        <w:t>）</w:t>
      </w:r>
    </w:p>
    <w:p w14:paraId="1E0242A2">
      <w:pPr>
        <w:spacing w:line="440" w:lineRule="exact"/>
        <w:ind w:firstLine="480" w:firstLineChars="200"/>
        <w:rPr>
          <w:rFonts w:ascii="宋体" w:hAnsi="宋体"/>
          <w:color w:val="auto"/>
          <w:sz w:val="24"/>
          <w:highlight w:val="none"/>
        </w:rPr>
      </w:pPr>
    </w:p>
    <w:p w14:paraId="2891D899">
      <w:pPr>
        <w:spacing w:line="360" w:lineRule="auto"/>
        <w:rPr>
          <w:rFonts w:ascii="宋体" w:hAnsi="宋体"/>
          <w:b/>
          <w:color w:val="auto"/>
          <w:sz w:val="24"/>
          <w:highlight w:val="none"/>
        </w:rPr>
      </w:pPr>
      <w:r>
        <w:rPr>
          <w:rFonts w:hint="eastAsia" w:ascii="宋体" w:hAnsi="宋体"/>
          <w:b/>
          <w:color w:val="auto"/>
          <w:sz w:val="24"/>
          <w:highlight w:val="none"/>
        </w:rPr>
        <w:t>7、售后服务</w:t>
      </w:r>
    </w:p>
    <w:p w14:paraId="727BC696">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7.1合同设备的保修期自最终验收合格之日起计算至少三年，且不得低于品牌官网的保修年限及标准。</w:t>
      </w:r>
    </w:p>
    <w:p w14:paraId="1C8E401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7.2卖方应按新三包规定执行售后服务，产品出现性能故障的，应严格按照《部分商品修理更换退货责任规定》处理。上述规定要求与本合同其他条款有不一致的，按对最终用户较有利的条款执行。</w:t>
      </w:r>
    </w:p>
    <w:p w14:paraId="36938A05">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7.3卖方应自合同设备经最终验收合格之日起对合同设备应提供终身免费技术咨询、上门故障检测等服务。</w:t>
      </w:r>
    </w:p>
    <w:p w14:paraId="656A314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7.4卖方应开通福建地区售后服务专线电话，供所有合同设备服务专用。售后服务专线电话应5*8工作小时实时响应；卖方接到买方或最终用户的报修电话，应在0.5个工作小时</w:t>
      </w:r>
      <w:r>
        <w:rPr>
          <w:rFonts w:ascii="宋体" w:hAnsi="宋体"/>
          <w:color w:val="auto"/>
          <w:sz w:val="24"/>
          <w:highlight w:val="none"/>
        </w:rPr>
        <w:t>内电话响应，</w:t>
      </w:r>
      <w:r>
        <w:rPr>
          <w:rFonts w:hint="eastAsia" w:ascii="宋体" w:hAnsi="宋体"/>
          <w:color w:val="auto"/>
          <w:sz w:val="24"/>
          <w:highlight w:val="none"/>
        </w:rPr>
        <w:t>4</w:t>
      </w:r>
      <w:r>
        <w:rPr>
          <w:rFonts w:ascii="宋体" w:hAnsi="宋体"/>
          <w:color w:val="auto"/>
          <w:sz w:val="24"/>
          <w:highlight w:val="none"/>
        </w:rPr>
        <w:t>个</w:t>
      </w:r>
      <w:r>
        <w:rPr>
          <w:rFonts w:hint="eastAsia" w:ascii="宋体" w:hAnsi="宋体"/>
          <w:color w:val="auto"/>
          <w:sz w:val="24"/>
          <w:highlight w:val="none"/>
        </w:rPr>
        <w:t>工作</w:t>
      </w:r>
      <w:r>
        <w:rPr>
          <w:rFonts w:ascii="宋体" w:hAnsi="宋体"/>
          <w:color w:val="auto"/>
          <w:sz w:val="24"/>
          <w:highlight w:val="none"/>
        </w:rPr>
        <w:t>小时内到达，</w:t>
      </w:r>
      <w:r>
        <w:rPr>
          <w:rFonts w:hint="eastAsia" w:ascii="宋体" w:hAnsi="宋体"/>
          <w:color w:val="auto"/>
          <w:sz w:val="24"/>
          <w:highlight w:val="none"/>
        </w:rPr>
        <w:t>到达后8个工作小时</w:t>
      </w:r>
      <w:r>
        <w:rPr>
          <w:rFonts w:ascii="宋体" w:hAnsi="宋体"/>
          <w:color w:val="auto"/>
          <w:sz w:val="24"/>
          <w:highlight w:val="none"/>
        </w:rPr>
        <w:t>内修复</w:t>
      </w:r>
      <w:r>
        <w:rPr>
          <w:rFonts w:hint="eastAsia" w:ascii="宋体" w:hAnsi="宋体"/>
          <w:color w:val="auto"/>
          <w:sz w:val="24"/>
          <w:highlight w:val="none"/>
        </w:rPr>
        <w:t>；若在8个工作小时内无法修复的，卖方应先提供备用机供最终用户使用，直至设备修复；如卖方所提供的备用机与故障机的型号不同，则需免费提供耗材。如果卖方未在承诺的时间内将设备修复或者提供备用机的则卖方应按200.00元/台/天向采购单位支付逾期违约金。(注：上门服务时间主要根据最终用户需求而定，假如最终用户需要第二天上门处理的，应根据最终用户要求的时间上门；如果最终用户需要晚上19：30后上门，卖方也应根据最终用户的要求上门服务。如无特殊情况，须按照上述标准来服务。)</w:t>
      </w:r>
    </w:p>
    <w:p w14:paraId="3D2FAD97">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7.5超出保修期的维修应向最终用户说明产品已过保，告知最终用户备件价格并向最终用户说明备件保修时间及保修方式，征得最终用户同意后再维修, 维修只需收取备件费不能收取上门费及服务费等其它费用，维修收费应提供发票。</w:t>
      </w:r>
    </w:p>
    <w:p w14:paraId="62BE0D27">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7.6 合同设备15天内出现故障，卖方应免费为最终用户更换同型号新整机；若合同设备的型号机器停产，卖方应与最终用户协商，更换其他型号的新机，更换的新机型性能不得低于故障机。换机后的新机，保修期限从换机之日起开始重新计算。因产品故障造成退、换机情况的，由卖方直接办理退换机流程，</w:t>
      </w:r>
      <w:r>
        <w:rPr>
          <w:rFonts w:hint="eastAsia" w:ascii="宋体" w:hAnsi="宋体" w:cs="宋体"/>
          <w:color w:val="auto"/>
          <w:sz w:val="24"/>
          <w:szCs w:val="24"/>
          <w:highlight w:val="none"/>
        </w:rPr>
        <w:t>并在报修后5个工作日内送达客户处更换，</w:t>
      </w:r>
      <w:r>
        <w:rPr>
          <w:rFonts w:hint="eastAsia" w:ascii="宋体" w:hAnsi="宋体"/>
          <w:color w:val="auto"/>
          <w:sz w:val="24"/>
          <w:highlight w:val="none"/>
        </w:rPr>
        <w:t>不再经过买方仓库。</w:t>
      </w:r>
    </w:p>
    <w:p w14:paraId="6A06F89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7.7卖方应为合同设备提供免费的上门安装调试服务，安装后产品故障保修由厦门当地维修站提供。</w:t>
      </w:r>
    </w:p>
    <w:p w14:paraId="5D22C0DA">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7.8买方在合同设备的使用过程中，如发现产品存在隐患或者有严重的质量问题，买方有权要求卖方更换该批次产品，由此产生的一切费用由卖方承担。</w:t>
      </w:r>
    </w:p>
    <w:p w14:paraId="2FC220EA">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7.9卖方应按最终用户的要求，每季度、每半年或每年一次，对合同设备进行保养服务，并将上门服务结果及时反馈给买方。</w:t>
      </w:r>
    </w:p>
    <w:p w14:paraId="5330061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7.10卖方在上门服务时，如果最终用户其它品牌设备出现故障需要卖方的工程师帮助解决，卖方的工程师不得拒绝最终用户的要求，在条件许可的前提下为最终用户服务；如果无法修复，应协助最终用户报修相应的技术售后服务网点或给出可行的解决方案供最终用户参考。</w:t>
      </w:r>
    </w:p>
    <w:p w14:paraId="3A516E14">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7.11卖方在</w:t>
      </w:r>
      <w:r>
        <w:rPr>
          <w:rFonts w:ascii="宋体" w:hAnsi="宋体"/>
          <w:color w:val="auto"/>
          <w:sz w:val="24"/>
          <w:highlight w:val="none"/>
        </w:rPr>
        <w:t>厦门地区拥有充足的备品备件，可以保证</w:t>
      </w:r>
      <w:r>
        <w:rPr>
          <w:rFonts w:hint="eastAsia" w:ascii="宋体" w:hAnsi="宋体"/>
          <w:color w:val="auto"/>
          <w:sz w:val="24"/>
          <w:highlight w:val="none"/>
        </w:rPr>
        <w:t>合同设备</w:t>
      </w:r>
      <w:r>
        <w:rPr>
          <w:rFonts w:ascii="宋体" w:hAnsi="宋体"/>
          <w:color w:val="auto"/>
          <w:sz w:val="24"/>
          <w:highlight w:val="none"/>
        </w:rPr>
        <w:t>在正常损坏情况下，及时给</w:t>
      </w:r>
      <w:r>
        <w:rPr>
          <w:rFonts w:hint="eastAsia" w:ascii="宋体" w:hAnsi="宋体"/>
          <w:color w:val="auto"/>
          <w:sz w:val="24"/>
          <w:highlight w:val="none"/>
        </w:rPr>
        <w:t>最终用户</w:t>
      </w:r>
      <w:r>
        <w:rPr>
          <w:rFonts w:ascii="宋体" w:hAnsi="宋体"/>
          <w:color w:val="auto"/>
          <w:sz w:val="24"/>
          <w:highlight w:val="none"/>
        </w:rPr>
        <w:t>提供保修或更换</w:t>
      </w:r>
      <w:r>
        <w:rPr>
          <w:rFonts w:hint="eastAsia" w:ascii="宋体" w:hAnsi="宋体"/>
          <w:color w:val="auto"/>
          <w:sz w:val="24"/>
          <w:highlight w:val="none"/>
        </w:rPr>
        <w:t>；超出保修期的合同设备，卖方应保证在二年内能及时提供产品维修所需的备件。</w:t>
      </w:r>
      <w:r>
        <w:rPr>
          <w:rFonts w:hint="eastAsia" w:ascii="宋体" w:hAnsi="宋体" w:cs="宋体"/>
          <w:color w:val="auto"/>
          <w:sz w:val="24"/>
          <w:highlight w:val="none"/>
        </w:rPr>
        <w:t>卖方应于第一次供货时一并免费提供品目号1-1号 5台；品目1-2号 2台；品目号1-3号2台；品目号1-4号2台高拍仪</w:t>
      </w:r>
      <w:r>
        <w:rPr>
          <w:rFonts w:hint="eastAsia" w:ascii="宋体" w:hAnsi="宋体"/>
          <w:color w:val="auto"/>
          <w:sz w:val="24"/>
          <w:szCs w:val="24"/>
          <w:highlight w:val="none"/>
        </w:rPr>
        <w:t>投标产品给采购单位作为备用机，且于中标后第一次供货时一并提供，质保期满后，备用机不再收回。如卖方未能如期送达备用机，应按每天每台承担相当于履约保证金1%的违约金。备用机归买方所有，由买方自行调配，合同履行结束后，无需归还。</w:t>
      </w:r>
    </w:p>
    <w:p w14:paraId="59BD0EC5">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7.12卖方应为合同设备建立完整的客户档案，保修期内，当合同设备发生维修，而最终用户无法提供发票或保修卡时，卖方应根据自身留存的档案，为最终用户提供应有的保修服务。</w:t>
      </w:r>
    </w:p>
    <w:p w14:paraId="1A6F1A8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7.13卖方应对合同设备进行100%的电话回访，每月初向买方提供上月的回访汇总报表及服务明细；当卖方在接到最终用户投诉时，要在1个工作小时之内应响，2个工作小时内开始处理，2个工作日之内处理完；处理完最终用户的投诉，应及时将处理结果反馈给买方。</w:t>
      </w:r>
    </w:p>
    <w:p w14:paraId="6A3F35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7.14卖方应根据最终用户的需求开办合同设备的免费培训课程。</w:t>
      </w:r>
    </w:p>
    <w:p w14:paraId="3A8D108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7.15卖方不得以任何方式对买方隐瞒和欺骗服务情况，买方需要卖方提供的报表不得有虚假，上门服务工程师不得以任何方式引导最终用户对买方回访的回答。</w:t>
      </w:r>
    </w:p>
    <w:p w14:paraId="435160C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7.16卖方安装合同设备时应做到：</w:t>
      </w:r>
    </w:p>
    <w:p w14:paraId="0C7830C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在接到买方或最终用户的安装要求后4个小时内安排安装服务人员到达指定地点进行安装调试，安装调试完成后将结果及时反馈给买方：</w:t>
      </w:r>
    </w:p>
    <w:p w14:paraId="1017C3D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A、安装前：</w:t>
      </w:r>
    </w:p>
    <w:p w14:paraId="311C31E3">
      <w:pPr>
        <w:spacing w:line="360" w:lineRule="auto"/>
        <w:ind w:firstLine="480" w:firstLineChars="200"/>
        <w:rPr>
          <w:rFonts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安装前应与最终用户核对机器型号和台数，确认无误后再安装；</w:t>
      </w:r>
    </w:p>
    <w:p w14:paraId="795A2743">
      <w:pPr>
        <w:spacing w:line="360" w:lineRule="auto"/>
        <w:ind w:firstLine="480" w:firstLineChars="200"/>
        <w:rPr>
          <w:rFonts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上门服务人员应着售后服务供应商工作牌；</w:t>
      </w:r>
    </w:p>
    <w:p w14:paraId="06D3D33F">
      <w:pPr>
        <w:spacing w:line="360" w:lineRule="auto"/>
        <w:ind w:firstLine="480" w:firstLineChars="200"/>
        <w:rPr>
          <w:rFonts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安装前应检查最终用户的电源电压是否安全稳定，如有问题，应及时告知最终用户，协商整改。</w:t>
      </w:r>
    </w:p>
    <w:p w14:paraId="2EB00B05">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B、安装过程中：</w:t>
      </w:r>
    </w:p>
    <w:p w14:paraId="64DE4A0E">
      <w:pPr>
        <w:spacing w:line="360" w:lineRule="auto"/>
        <w:ind w:firstLine="480" w:firstLineChars="200"/>
        <w:rPr>
          <w:rFonts w:ascii="宋体" w:hAnsi="宋体"/>
          <w:color w:val="auto"/>
          <w:sz w:val="24"/>
          <w:highlight w:val="none"/>
        </w:rPr>
      </w:pPr>
      <w:r>
        <w:rPr>
          <w:rFonts w:ascii="宋体" w:hAnsi="宋体"/>
          <w:color w:val="auto"/>
          <w:sz w:val="24"/>
          <w:highlight w:val="none"/>
        </w:rPr>
        <w:t xml:space="preserve">1) 开箱验机，检查设备外观完好； </w:t>
      </w:r>
    </w:p>
    <w:p w14:paraId="388F638E">
      <w:pPr>
        <w:spacing w:line="360" w:lineRule="auto"/>
        <w:ind w:firstLine="480" w:firstLineChars="200"/>
        <w:rPr>
          <w:rFonts w:ascii="宋体" w:hAnsi="宋体"/>
          <w:color w:val="auto"/>
          <w:sz w:val="24"/>
          <w:highlight w:val="none"/>
        </w:rPr>
      </w:pPr>
      <w:r>
        <w:rPr>
          <w:rFonts w:ascii="宋体" w:hAnsi="宋体"/>
          <w:color w:val="auto"/>
          <w:sz w:val="24"/>
          <w:highlight w:val="none"/>
        </w:rPr>
        <w:t>2) 检查每台机器的服务编号；</w:t>
      </w:r>
    </w:p>
    <w:p w14:paraId="347D80D3">
      <w:pPr>
        <w:spacing w:line="360" w:lineRule="auto"/>
        <w:ind w:firstLine="480" w:firstLineChars="200"/>
        <w:rPr>
          <w:rFonts w:ascii="宋体" w:hAnsi="宋体"/>
          <w:color w:val="auto"/>
          <w:sz w:val="24"/>
          <w:highlight w:val="none"/>
        </w:rPr>
      </w:pPr>
      <w:r>
        <w:rPr>
          <w:rFonts w:ascii="宋体" w:hAnsi="宋体"/>
          <w:color w:val="auto"/>
          <w:sz w:val="24"/>
          <w:highlight w:val="none"/>
        </w:rPr>
        <w:t>3) 如果设备在运输过程中出现损伤，</w:t>
      </w:r>
      <w:r>
        <w:rPr>
          <w:rFonts w:hint="eastAsia" w:ascii="宋体" w:hAnsi="宋体"/>
          <w:color w:val="auto"/>
          <w:sz w:val="24"/>
          <w:highlight w:val="none"/>
        </w:rPr>
        <w:t>卖方应负责免费给最终用户更换同型号新设备</w:t>
      </w:r>
      <w:r>
        <w:rPr>
          <w:rFonts w:ascii="宋体" w:hAnsi="宋体"/>
          <w:color w:val="auto"/>
          <w:sz w:val="24"/>
          <w:highlight w:val="none"/>
        </w:rPr>
        <w:t>；</w:t>
      </w:r>
    </w:p>
    <w:p w14:paraId="139CBEDF">
      <w:pPr>
        <w:spacing w:line="360" w:lineRule="auto"/>
        <w:ind w:firstLine="480" w:firstLineChars="200"/>
        <w:rPr>
          <w:rFonts w:ascii="宋体" w:hAnsi="宋体"/>
          <w:color w:val="auto"/>
          <w:sz w:val="24"/>
          <w:highlight w:val="none"/>
        </w:rPr>
      </w:pPr>
      <w:r>
        <w:rPr>
          <w:rFonts w:ascii="宋体" w:hAnsi="宋体"/>
          <w:color w:val="auto"/>
          <w:sz w:val="24"/>
          <w:highlight w:val="none"/>
        </w:rPr>
        <w:t xml:space="preserve">4) </w:t>
      </w:r>
      <w:r>
        <w:rPr>
          <w:rFonts w:hint="eastAsia" w:ascii="宋体" w:hAnsi="宋体"/>
          <w:color w:val="auto"/>
          <w:sz w:val="24"/>
          <w:highlight w:val="none"/>
        </w:rPr>
        <w:t>设备安装到最终用户所指定</w:t>
      </w:r>
      <w:r>
        <w:rPr>
          <w:rFonts w:ascii="宋体" w:hAnsi="宋体"/>
          <w:color w:val="auto"/>
          <w:sz w:val="24"/>
          <w:highlight w:val="none"/>
        </w:rPr>
        <w:t>的位</w:t>
      </w:r>
      <w:r>
        <w:rPr>
          <w:rFonts w:hint="eastAsia" w:ascii="宋体" w:hAnsi="宋体"/>
          <w:color w:val="auto"/>
          <w:sz w:val="24"/>
          <w:highlight w:val="none"/>
        </w:rPr>
        <w:t>置</w:t>
      </w:r>
      <w:r>
        <w:rPr>
          <w:rFonts w:ascii="宋体" w:hAnsi="宋体"/>
          <w:color w:val="auto"/>
          <w:sz w:val="24"/>
          <w:highlight w:val="none"/>
        </w:rPr>
        <w:t>上</w:t>
      </w:r>
      <w:r>
        <w:rPr>
          <w:rFonts w:hint="eastAsia" w:ascii="宋体" w:hAnsi="宋体"/>
          <w:color w:val="auto"/>
          <w:sz w:val="24"/>
          <w:highlight w:val="none"/>
        </w:rPr>
        <w:t>，如位置无法正常安装，应与最终用户协商，提出解决方案；</w:t>
      </w:r>
    </w:p>
    <w:p w14:paraId="58C1B87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5</w:t>
      </w:r>
      <w:r>
        <w:rPr>
          <w:rFonts w:ascii="宋体" w:hAnsi="宋体"/>
          <w:color w:val="auto"/>
          <w:sz w:val="24"/>
          <w:highlight w:val="none"/>
        </w:rPr>
        <w:t>) 给新机器连接线</w:t>
      </w:r>
      <w:r>
        <w:rPr>
          <w:rFonts w:hint="eastAsia" w:ascii="宋体" w:hAnsi="宋体"/>
          <w:color w:val="auto"/>
          <w:sz w:val="24"/>
          <w:highlight w:val="none"/>
        </w:rPr>
        <w:t>缆</w:t>
      </w:r>
      <w:r>
        <w:rPr>
          <w:rFonts w:ascii="宋体" w:hAnsi="宋体"/>
          <w:color w:val="auto"/>
          <w:sz w:val="24"/>
          <w:highlight w:val="none"/>
        </w:rPr>
        <w:t>；</w:t>
      </w:r>
    </w:p>
    <w:p w14:paraId="1B7E1FE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6</w:t>
      </w:r>
      <w:r>
        <w:rPr>
          <w:rFonts w:ascii="宋体" w:hAnsi="宋体"/>
          <w:color w:val="auto"/>
          <w:sz w:val="24"/>
          <w:highlight w:val="none"/>
        </w:rPr>
        <w:t>) 安装</w:t>
      </w:r>
      <w:r>
        <w:rPr>
          <w:rFonts w:hint="eastAsia" w:ascii="宋体" w:hAnsi="宋体"/>
          <w:color w:val="auto"/>
          <w:sz w:val="24"/>
          <w:highlight w:val="none"/>
        </w:rPr>
        <w:t>完成之后</w:t>
      </w:r>
      <w:r>
        <w:rPr>
          <w:rFonts w:ascii="宋体" w:hAnsi="宋体"/>
          <w:color w:val="auto"/>
          <w:sz w:val="24"/>
          <w:highlight w:val="none"/>
        </w:rPr>
        <w:t>开机测试</w:t>
      </w:r>
      <w:r>
        <w:rPr>
          <w:rFonts w:hint="eastAsia" w:ascii="宋体" w:hAnsi="宋体"/>
          <w:color w:val="auto"/>
          <w:sz w:val="24"/>
          <w:highlight w:val="none"/>
        </w:rPr>
        <w:t>，并根据最终用户的需求进行设置。</w:t>
      </w:r>
    </w:p>
    <w:p w14:paraId="198C506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C、安装完成：</w:t>
      </w:r>
    </w:p>
    <w:p w14:paraId="52125EC5">
      <w:pPr>
        <w:spacing w:line="360" w:lineRule="auto"/>
        <w:ind w:firstLine="480" w:firstLineChars="200"/>
        <w:rPr>
          <w:rFonts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安装完毕，确认产品的正常运行；</w:t>
      </w:r>
    </w:p>
    <w:p w14:paraId="3F0B9658">
      <w:pPr>
        <w:spacing w:line="360" w:lineRule="auto"/>
        <w:ind w:firstLine="480" w:firstLineChars="200"/>
        <w:rPr>
          <w:rFonts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安装完毕，应为每台机器注册信息, 并向最终用户详细讲解保修条例；如没有注册信息而导致机器在保修期内无法免费保修的情况，卖方应负责相关维修费用；</w:t>
      </w:r>
    </w:p>
    <w:p w14:paraId="154C30AA">
      <w:pPr>
        <w:spacing w:line="360" w:lineRule="auto"/>
        <w:ind w:firstLine="480" w:firstLineChars="200"/>
        <w:rPr>
          <w:rFonts w:ascii="宋体" w:hAnsi="宋体"/>
          <w:color w:val="auto"/>
          <w:sz w:val="24"/>
          <w:highlight w:val="none"/>
        </w:rPr>
      </w:pPr>
      <w:r>
        <w:rPr>
          <w:rFonts w:ascii="宋体" w:hAnsi="宋体"/>
          <w:color w:val="auto"/>
          <w:sz w:val="24"/>
          <w:highlight w:val="none"/>
        </w:rPr>
        <w:t xml:space="preserve"> 3)</w:t>
      </w:r>
      <w:r>
        <w:rPr>
          <w:rFonts w:hint="eastAsia" w:ascii="宋体" w:hAnsi="宋体"/>
          <w:color w:val="auto"/>
          <w:sz w:val="24"/>
          <w:highlight w:val="none"/>
        </w:rPr>
        <w:t>安装完毕，应向最终用户详细讲解使用操作方法和日常维护保养措施，耐心解答最终用户提出的问题，留下服务电话；并在设备合适的地方填(贴)上机器信息（包括报修电话、机器序列号及服务号），方便最终用户报修；</w:t>
      </w:r>
    </w:p>
    <w:p w14:paraId="46E7EE7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4）安装完毕，应把工作现场打扫干净，将工具等物品复位；</w:t>
      </w:r>
    </w:p>
    <w:p w14:paraId="06DBB75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5）安装完毕，应按照买方要求填写验收报告，三个工作日内报送给买方。</w:t>
      </w:r>
    </w:p>
    <w:p w14:paraId="4E68323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7.17 卖方应按买方要求，每日制作报表反馈安装及验收报告签收情况。其他报表需求也应按买方要求提供。</w:t>
      </w:r>
    </w:p>
    <w:p w14:paraId="0697B55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7.18卖方同意买方按照《服务考核细则》对其进行考核。如果在保修期内发生售后服务质量的投诉，买方将视投诉情况的严重性及处理结果要求卖方支付违约金（详见采购合同附件2《服务考核细则》）。</w:t>
      </w:r>
    </w:p>
    <w:p w14:paraId="19FC6E04">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7.19卖方承诺因卖方产品给买方造成的客诉，若卖方在接到买方通知后3个日历日内无法解决客诉，买方有权自行解决客诉，并直接于卖方的履约保证金中扣除解决客诉所产生的费用。该条款可能造成的成本费用包含在卖方的产品报价中。</w:t>
      </w:r>
    </w:p>
    <w:p w14:paraId="549AFB9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7.20卖方同意在每年6月-8月申领高峰期，必须按照要求供货，如出现供货逾期的情况，处罚金额为100元/台*逾期供货天数,如逾期供货天数≥10天，罚款金额为200元/台*（逾期供货天数-10）。</w:t>
      </w:r>
    </w:p>
    <w:p w14:paraId="392C093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7.21如最终使用单位数据线（标配1.5米）不够，需免费提供保证设备可正常使用所需长度数据线，具体根据实际现场需求提供符合设备所需相应长度数据线（需提供整条数据线，不接受多条拼接线。)</w:t>
      </w:r>
    </w:p>
    <w:p w14:paraId="017F8953">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7.22卖方承诺待合同终止后的30天内根据采购单位要求按合同原中标价回购买方剩余的库存高拍仪产品且回购总金额不高于合同总金额的3%，卖方回购的付款方式为先款后货。若卖方未在规定的期限内完成上述回购的，买方有权从卖方的货款或履约保证金中扣除相应的回购款项。</w:t>
      </w:r>
    </w:p>
    <w:p w14:paraId="4D043DB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7.23卖方承诺，因卖方产品给买方造成的客诉，若卖方在接到买方通知后3个日历日内无法解决客诉，买方有权自行解决客诉，并直接于卖方的履约保证金中扣除解决客诉所产生的费用。该条款可能造成的成本费用包含在卖方的产品报价中。如最终使用单位开箱后遇到设备与使用单位的软件不兼容的情况，卖方同意无条件退货。</w:t>
      </w:r>
    </w:p>
    <w:p w14:paraId="426155C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7.24 卖方承诺，在合同期内，同一机型维修次数超过2次，需免费更换同一型号新机，人为损坏除外。</w:t>
      </w:r>
    </w:p>
    <w:p w14:paraId="65C70D1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7.25品目号1-1和1-2产品必须满足开机自动聚焦，达到最佳展示效果，不会随着光线环境变化物体移动而多次自动聚焦造成展示模糊，如展示不同</w:t>
      </w:r>
      <w:r>
        <w:rPr>
          <w:rFonts w:hint="eastAsia" w:asciiTheme="minorEastAsia" w:hAnsiTheme="minorEastAsia" w:eastAsiaTheme="minorEastAsia"/>
          <w:color w:val="auto"/>
          <w:sz w:val="24"/>
          <w:szCs w:val="24"/>
          <w:highlight w:val="none"/>
        </w:rPr>
        <w:t>高低大小物体，可以自由切换对焦方式达到最佳展示效果。</w:t>
      </w:r>
    </w:p>
    <w:p w14:paraId="1D4F27D6">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7.26卖方承诺如最终使用单位需要防护垫或者防撞条，需免费提供，满足最终使用单位需求。</w:t>
      </w:r>
    </w:p>
    <w:p w14:paraId="3DFDCB0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7.27卖方承诺品目号1-4内置二代身份证阅读器(内置全新公安部标准身份证读卡模块为最新），即出厂日期为2023 年。</w:t>
      </w:r>
    </w:p>
    <w:p w14:paraId="383D01F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7.28、为保证服务及时性，中标供应商在接到</w:t>
      </w:r>
      <w:r>
        <w:rPr>
          <w:rFonts w:hint="default" w:ascii="宋体" w:hAnsi="宋体"/>
          <w:color w:val="auto"/>
          <w:sz w:val="24"/>
          <w:highlight w:val="none"/>
        </w:rPr>
        <w:t>采购单位</w:t>
      </w:r>
      <w:r>
        <w:rPr>
          <w:rFonts w:hint="eastAsia" w:ascii="宋体" w:hAnsi="宋体"/>
          <w:color w:val="auto"/>
          <w:sz w:val="24"/>
          <w:highlight w:val="none"/>
        </w:rPr>
        <w:t>通知后24小时内未上门安装及提供维保服务，或经过</w:t>
      </w:r>
      <w:r>
        <w:rPr>
          <w:rFonts w:hint="default" w:ascii="宋体" w:hAnsi="宋体"/>
          <w:color w:val="auto"/>
          <w:sz w:val="24"/>
          <w:highlight w:val="none"/>
        </w:rPr>
        <w:t>采购单位</w:t>
      </w:r>
      <w:r>
        <w:rPr>
          <w:rFonts w:hint="eastAsia" w:ascii="宋体" w:hAnsi="宋体"/>
          <w:color w:val="auto"/>
          <w:sz w:val="24"/>
          <w:highlight w:val="none"/>
        </w:rPr>
        <w:t>监管服务未达到我司要求的，</w:t>
      </w:r>
      <w:r>
        <w:rPr>
          <w:rFonts w:hint="default" w:ascii="宋体" w:hAnsi="宋体"/>
          <w:color w:val="auto"/>
          <w:sz w:val="24"/>
          <w:highlight w:val="none"/>
        </w:rPr>
        <w:t>采购单位</w:t>
      </w:r>
      <w:r>
        <w:rPr>
          <w:rFonts w:hint="eastAsia" w:ascii="宋体" w:hAnsi="宋体"/>
          <w:color w:val="auto"/>
          <w:sz w:val="24"/>
          <w:highlight w:val="none"/>
        </w:rPr>
        <w:t>有权另行安排人员上门为最终用户提供安装及维保服务，导致</w:t>
      </w:r>
      <w:r>
        <w:rPr>
          <w:rFonts w:hint="default" w:ascii="宋体" w:hAnsi="宋体"/>
          <w:color w:val="auto"/>
          <w:sz w:val="24"/>
          <w:highlight w:val="none"/>
        </w:rPr>
        <w:t>采购单位</w:t>
      </w:r>
      <w:r>
        <w:rPr>
          <w:rFonts w:hint="eastAsia" w:ascii="宋体" w:hAnsi="宋体"/>
          <w:color w:val="auto"/>
          <w:sz w:val="24"/>
          <w:highlight w:val="none"/>
        </w:rPr>
        <w:t>选择自行为最终用户安装及提供维保服务所产生的费用由中标供应商承担，安装收费标准为80元/台，维保费用按照实际情况结算。中标供应商在安装完成后 30 个日历日内根据</w:t>
      </w:r>
      <w:r>
        <w:rPr>
          <w:rFonts w:hint="default" w:ascii="宋体" w:hAnsi="宋体"/>
          <w:color w:val="auto"/>
          <w:sz w:val="24"/>
          <w:highlight w:val="none"/>
        </w:rPr>
        <w:t>采购单位</w:t>
      </w:r>
      <w:r>
        <w:rPr>
          <w:rFonts w:hint="eastAsia" w:ascii="宋体" w:hAnsi="宋体"/>
          <w:color w:val="auto"/>
          <w:sz w:val="24"/>
          <w:highlight w:val="none"/>
        </w:rPr>
        <w:t>提供的货物验收单向</w:t>
      </w:r>
      <w:r>
        <w:rPr>
          <w:rFonts w:hint="default" w:ascii="宋体" w:hAnsi="宋体"/>
          <w:color w:val="auto"/>
          <w:sz w:val="24"/>
          <w:highlight w:val="none"/>
        </w:rPr>
        <w:t>采购单位</w:t>
      </w:r>
      <w:r>
        <w:rPr>
          <w:rFonts w:hint="eastAsia" w:ascii="宋体" w:hAnsi="宋体"/>
          <w:color w:val="auto"/>
          <w:sz w:val="24"/>
          <w:highlight w:val="none"/>
        </w:rPr>
        <w:t>支付安装费用，</w:t>
      </w:r>
      <w:r>
        <w:rPr>
          <w:rFonts w:hint="default" w:ascii="宋体" w:hAnsi="宋体"/>
          <w:color w:val="auto"/>
          <w:sz w:val="24"/>
          <w:highlight w:val="none"/>
        </w:rPr>
        <w:t>采购单位</w:t>
      </w:r>
      <w:r>
        <w:rPr>
          <w:rFonts w:hint="eastAsia" w:ascii="宋体" w:hAnsi="宋体"/>
          <w:color w:val="auto"/>
          <w:sz w:val="24"/>
          <w:highlight w:val="none"/>
        </w:rPr>
        <w:t>同步开具安装费发票。</w:t>
      </w:r>
    </w:p>
    <w:p w14:paraId="54029A8E">
      <w:pPr>
        <w:spacing w:line="360" w:lineRule="auto"/>
        <w:ind w:firstLine="480" w:firstLineChars="200"/>
        <w:rPr>
          <w:rFonts w:ascii="宋体" w:hAnsi="宋体"/>
          <w:color w:val="auto"/>
          <w:sz w:val="24"/>
          <w:highlight w:val="none"/>
        </w:rPr>
      </w:pPr>
    </w:p>
    <w:p w14:paraId="5738174E">
      <w:pPr>
        <w:spacing w:line="360" w:lineRule="auto"/>
        <w:rPr>
          <w:rFonts w:ascii="宋体" w:hAnsi="宋体"/>
          <w:b/>
          <w:color w:val="auto"/>
          <w:sz w:val="24"/>
          <w:highlight w:val="none"/>
        </w:rPr>
      </w:pPr>
      <w:r>
        <w:rPr>
          <w:rFonts w:hint="eastAsia" w:ascii="宋体" w:hAnsi="宋体"/>
          <w:b/>
          <w:color w:val="auto"/>
          <w:sz w:val="24"/>
          <w:highlight w:val="none"/>
        </w:rPr>
        <w:t>8、知识产权</w:t>
      </w:r>
    </w:p>
    <w:p w14:paraId="1FBB2563">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卖方须保障买方或最终用户在使用该货物或其任何一部分时不受到第三方关于侵犯专利权、商标权或工业设计权等知识产权的指控。如果任何第三方提出侵权指控与买方、最终用户无关，卖方须与第三方交涉并承担可能发生的责任与一切费用。如买方或最终用户因此而遭致损失的，卖方应赔偿该损失。</w:t>
      </w:r>
    </w:p>
    <w:p w14:paraId="5A3FA03C">
      <w:pPr>
        <w:spacing w:line="360" w:lineRule="auto"/>
        <w:rPr>
          <w:rFonts w:ascii="宋体" w:hAnsi="宋体"/>
          <w:b/>
          <w:color w:val="auto"/>
          <w:sz w:val="24"/>
          <w:highlight w:val="none"/>
        </w:rPr>
      </w:pPr>
      <w:r>
        <w:rPr>
          <w:rFonts w:hint="eastAsia" w:ascii="宋体" w:hAnsi="宋体"/>
          <w:b/>
          <w:color w:val="auto"/>
          <w:sz w:val="24"/>
          <w:highlight w:val="none"/>
        </w:rPr>
        <w:t>9、违约责任</w:t>
      </w:r>
    </w:p>
    <w:p w14:paraId="46FF028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9.1卖方若未能按时将保质足量产品送到买方仓库或最终用户指定地点的、或未能按时完成安装调试的，卖方向买方每日偿付当批货款0.5%的逾期违约金。逾期超过5个日历日，买方有权单方面解除合同，卖方除应退还买方已支付的该批次货款外，还应另行支付相当于履约保证金金额的违约金。</w:t>
      </w:r>
    </w:p>
    <w:p w14:paraId="263C8EE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9.2任一批次的产品若验收不合格（包括初验和最终验收），买方有权换货或单方解除合同，若买方选择换货的，卖方重新供货导致的供货延迟，按9.1条违约责任处理；若买方选择单方解除合同的，卖方除应退还买方已支付该批次货款外，还应另行支付相当于履约保证金金额的违约金。</w:t>
      </w:r>
    </w:p>
    <w:p w14:paraId="78941AF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9.3卖方保证所供中标/成交产品质量与投标（报价）时的承诺一致，若有拆装、以次充好、偷换等行为。一经发现，买方将取消卖方作为厦门市政府采购供应商资格，</w:t>
      </w:r>
      <w:r>
        <w:rPr>
          <w:rFonts w:hint="eastAsia" w:ascii="宋体" w:hAnsi="宋体" w:cs="宋体"/>
          <w:color w:val="auto"/>
          <w:sz w:val="24"/>
          <w:szCs w:val="24"/>
          <w:highlight w:val="none"/>
        </w:rPr>
        <w:t>拒绝</w:t>
      </w:r>
      <w:r>
        <w:rPr>
          <w:rFonts w:hint="eastAsia" w:ascii="宋体" w:hAnsi="宋体"/>
          <w:color w:val="auto"/>
          <w:sz w:val="24"/>
          <w:highlight w:val="none"/>
        </w:rPr>
        <w:t>其三年内参加相同项目的</w:t>
      </w:r>
      <w:r>
        <w:rPr>
          <w:rFonts w:hint="eastAsia" w:ascii="宋体" w:hAnsi="宋体" w:cs="宋体"/>
          <w:color w:val="auto"/>
          <w:sz w:val="24"/>
          <w:szCs w:val="24"/>
          <w:highlight w:val="none"/>
        </w:rPr>
        <w:t>投标</w:t>
      </w:r>
      <w:r>
        <w:rPr>
          <w:rFonts w:hint="eastAsia" w:ascii="宋体" w:hAnsi="宋体"/>
          <w:color w:val="auto"/>
          <w:sz w:val="24"/>
          <w:highlight w:val="none"/>
        </w:rPr>
        <w:t>报价并有权单方解除合同，同时卖方应支付相当于履约保证金金额的违约金。</w:t>
      </w:r>
    </w:p>
    <w:p w14:paraId="3875450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9.4移交使用后，若任一批次货物累计三次出现质量问题、或任何两个批次货物累计三次出现质量问题，或累计三个批次货物出现质量问题、或累计三个批次逾期交货（但逾期未超过5个日历日）情况，买方有权单方解除合同，同时卖方应支付相当于履约保证金金额的违约金。</w:t>
      </w:r>
    </w:p>
    <w:p w14:paraId="1A60E64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9.5买方根据本合同约定提出换货、退货或解除合同的，卖方应在收到买方或最终用户通知后3个工作日内自行收回不符合合同约定的货物，并承担相应费用。因卖方原因导致退换货的，卖方应承担退换货所需的一切费用。如卖方未在规定时间内收回不合格货物，买方不对上述货物的灭失或损坏承担任何责任。如卖方逾期超过20个日历日仍未收回的，买方有权自行处理上述货物。</w:t>
      </w:r>
    </w:p>
    <w:p w14:paraId="433DB285">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9.6买方应按商定的付款周期及时支付卖方货款。若故意拖延支付货款，买方向卖方每日偿付延迟付款部分0.5%的违约金，偿付金额最高不超过5万元。若协商不成，可根据规定向厦门市财政局采购办投诉并要求解决。</w:t>
      </w:r>
    </w:p>
    <w:p w14:paraId="75FFB2E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9.7保修期内，若卖方实际的维修响应（到达现场）时间不满足本合同要求的，每次应向买方支付1000元违约金；卖方未按照本合同其它要求及投标（报价）文件售后服务承诺书的条款履行义务的，每次应向买方支付2000元违约金。</w:t>
      </w:r>
    </w:p>
    <w:p w14:paraId="41304777">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9.8除本合同另有约定，在买方发出的违约通知后30天内卖方仍未纠正其任何一种违约行为的，买方有权单方解除合同，同时卖方应支付相当于履约保证金金额的违约金。</w:t>
      </w:r>
    </w:p>
    <w:p w14:paraId="49B5343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9.9由于卖方原因造成合同解除，但买方仍有库存或其他批次货物尚未完成最终验收的，买方除按本合同约定要求卖方支付违约金外，还可同时选择以下一种或几种方式处理：</w:t>
      </w:r>
    </w:p>
    <w:p w14:paraId="7F324D6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9.9.1双方协商确定减少货款的金额，减少的款项从买方下一次应付款项中直接抵扣。</w:t>
      </w:r>
    </w:p>
    <w:p w14:paraId="13EF55D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9.9.2退货，卖方应返还退货部分买方已支付的全部货款，并负担因此而产生的一切费用和买方遭受的一切直接损失。</w:t>
      </w:r>
    </w:p>
    <w:p w14:paraId="75876727">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9.10买方有权自行从未付的款项或履约保证金中直接扣除卖方应付未付的违约金、赔偿金等。本合同约定的违约金（包括但不限于本条的约定）无法弥补买方损失的，卖方应继续承担相应的赔偿责任。</w:t>
      </w:r>
    </w:p>
    <w:p w14:paraId="7DD8A42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9.11卖方承诺在履行合同期间出现如下任一情况的，</w:t>
      </w:r>
      <w:r>
        <w:rPr>
          <w:rFonts w:hint="eastAsia"/>
          <w:color w:val="auto"/>
          <w:sz w:val="24"/>
          <w:szCs w:val="24"/>
          <w:highlight w:val="none"/>
        </w:rPr>
        <w:t>买方有权单方解除合同，卖方应支付相当于履约保证金金额的违约金。</w:t>
      </w:r>
      <w:r>
        <w:rPr>
          <w:rFonts w:hint="eastAsia" w:ascii="宋体" w:hAnsi="宋体"/>
          <w:color w:val="auto"/>
          <w:sz w:val="24"/>
          <w:szCs w:val="24"/>
          <w:highlight w:val="none"/>
        </w:rPr>
        <w:t>对中标供应商下述情况在厦门招投标网进行公示，并在三年内</w:t>
      </w:r>
      <w:r>
        <w:rPr>
          <w:rFonts w:hint="eastAsia" w:ascii="宋体" w:hAnsi="宋体" w:cs="宋体"/>
          <w:color w:val="auto"/>
          <w:sz w:val="24"/>
          <w:szCs w:val="24"/>
          <w:highlight w:val="none"/>
        </w:rPr>
        <w:t>拒绝</w:t>
      </w:r>
      <w:r>
        <w:rPr>
          <w:rFonts w:hint="eastAsia" w:ascii="宋体" w:hAnsi="宋体"/>
          <w:color w:val="auto"/>
          <w:sz w:val="24"/>
          <w:szCs w:val="24"/>
          <w:highlight w:val="none"/>
        </w:rPr>
        <w:t>卖方进入大宗政府招标采购项目的</w:t>
      </w:r>
      <w:r>
        <w:rPr>
          <w:rFonts w:hint="eastAsia" w:ascii="宋体" w:hAnsi="宋体" w:cs="宋体"/>
          <w:color w:val="auto"/>
          <w:sz w:val="24"/>
          <w:szCs w:val="24"/>
          <w:highlight w:val="none"/>
        </w:rPr>
        <w:t>投标报价</w:t>
      </w:r>
      <w:r>
        <w:rPr>
          <w:rFonts w:hint="eastAsia" w:ascii="宋体" w:hAnsi="宋体"/>
          <w:color w:val="auto"/>
          <w:sz w:val="24"/>
          <w:szCs w:val="24"/>
          <w:highlight w:val="none"/>
        </w:rPr>
        <w:t>。同时，改由大宗招标排名第二的供应商供货。</w:t>
      </w:r>
    </w:p>
    <w:p w14:paraId="025C194D">
      <w:pPr>
        <w:spacing w:line="360" w:lineRule="auto"/>
        <w:ind w:firstLine="420"/>
        <w:rPr>
          <w:color w:val="auto"/>
          <w:sz w:val="24"/>
          <w:szCs w:val="24"/>
          <w:highlight w:val="none"/>
        </w:rPr>
      </w:pPr>
      <w:r>
        <w:rPr>
          <w:rFonts w:hint="eastAsia" w:ascii="宋体" w:hAnsi="宋体"/>
          <w:color w:val="auto"/>
          <w:sz w:val="24"/>
          <w:szCs w:val="24"/>
          <w:highlight w:val="none"/>
        </w:rPr>
        <w:t>（1）</w:t>
      </w:r>
      <w:r>
        <w:rPr>
          <w:rFonts w:hint="eastAsia"/>
          <w:color w:val="auto"/>
          <w:sz w:val="24"/>
          <w:szCs w:val="24"/>
          <w:highlight w:val="none"/>
        </w:rPr>
        <w:t>违反法律法规、行业规范要求被有关部门查处的；</w:t>
      </w:r>
    </w:p>
    <w:p w14:paraId="18A1DFE8">
      <w:pPr>
        <w:spacing w:line="360" w:lineRule="auto"/>
        <w:ind w:firstLine="420"/>
        <w:rPr>
          <w:color w:val="auto"/>
          <w:sz w:val="24"/>
          <w:szCs w:val="24"/>
          <w:highlight w:val="none"/>
        </w:rPr>
      </w:pPr>
      <w:r>
        <w:rPr>
          <w:rFonts w:hint="eastAsia"/>
          <w:color w:val="auto"/>
          <w:sz w:val="24"/>
          <w:szCs w:val="24"/>
          <w:highlight w:val="none"/>
        </w:rPr>
        <w:t>（2）提供假冒伪劣产品的；</w:t>
      </w:r>
    </w:p>
    <w:p w14:paraId="06A5C7E4">
      <w:pPr>
        <w:spacing w:line="360" w:lineRule="auto"/>
        <w:ind w:firstLine="420"/>
        <w:rPr>
          <w:color w:val="auto"/>
          <w:sz w:val="24"/>
          <w:szCs w:val="24"/>
          <w:highlight w:val="none"/>
        </w:rPr>
      </w:pPr>
      <w:r>
        <w:rPr>
          <w:rFonts w:hint="eastAsia"/>
          <w:color w:val="auto"/>
          <w:sz w:val="24"/>
          <w:szCs w:val="24"/>
          <w:highlight w:val="none"/>
        </w:rPr>
        <w:t>（3）通过给回扣或变相给回扣的方式招揽业务的；</w:t>
      </w:r>
    </w:p>
    <w:p w14:paraId="7D194D3F">
      <w:pPr>
        <w:spacing w:line="360" w:lineRule="auto"/>
        <w:ind w:firstLine="420"/>
        <w:rPr>
          <w:color w:val="auto"/>
          <w:sz w:val="24"/>
          <w:szCs w:val="24"/>
          <w:highlight w:val="none"/>
        </w:rPr>
      </w:pPr>
      <w:r>
        <w:rPr>
          <w:rFonts w:hint="eastAsia"/>
          <w:color w:val="auto"/>
          <w:sz w:val="24"/>
          <w:szCs w:val="24"/>
          <w:highlight w:val="none"/>
        </w:rPr>
        <w:t>（4）因产品质量或服务问题被有效投诉达三次以上的；</w:t>
      </w:r>
    </w:p>
    <w:p w14:paraId="757A4C30">
      <w:pPr>
        <w:spacing w:line="360" w:lineRule="auto"/>
        <w:ind w:firstLine="420"/>
        <w:rPr>
          <w:color w:val="auto"/>
          <w:sz w:val="24"/>
          <w:szCs w:val="24"/>
          <w:highlight w:val="none"/>
        </w:rPr>
      </w:pPr>
      <w:r>
        <w:rPr>
          <w:rFonts w:hint="eastAsia"/>
          <w:color w:val="auto"/>
          <w:sz w:val="24"/>
          <w:szCs w:val="24"/>
          <w:highlight w:val="none"/>
        </w:rPr>
        <w:t>（5）向有关部门、采购单位、最终使用方提供虚假信息或资料等情况的；</w:t>
      </w:r>
    </w:p>
    <w:p w14:paraId="3A7866C7">
      <w:pPr>
        <w:spacing w:line="360" w:lineRule="auto"/>
        <w:ind w:firstLine="420"/>
        <w:rPr>
          <w:rFonts w:ascii="宋体" w:hAnsi="宋体"/>
          <w:color w:val="auto"/>
          <w:sz w:val="24"/>
          <w:szCs w:val="24"/>
          <w:highlight w:val="none"/>
        </w:rPr>
      </w:pPr>
      <w:r>
        <w:rPr>
          <w:rFonts w:hint="eastAsia" w:ascii="宋体" w:hAnsi="宋体"/>
          <w:color w:val="auto"/>
          <w:sz w:val="24"/>
          <w:szCs w:val="24"/>
          <w:highlight w:val="none"/>
        </w:rPr>
        <w:t>（6）出现重大客诉（包含政府采购管理部门督办事件、新闻媒体公开报道、采购业主书面发函投诉等以及其他引起严重影响的事件），对采购单位造成严重影响。</w:t>
      </w:r>
    </w:p>
    <w:p w14:paraId="4243EA8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（7）报修率超过3%。报修率=报修有效台数/已销售台数*100%。（已销售台数超过100台之后开始计算报个率）</w:t>
      </w:r>
    </w:p>
    <w:p w14:paraId="4B51E81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9.12卖方承诺若中标，将确保任何产品型号在供货期内能够满足采购单位的需求；若在供货期内卖方有任何产品型号或配件升级变更，应至少提前一个月书面通知买方相关信息（包括其升级产品型号、部件及详细配置方案），经买方书面同意后方可按升级后的产品（或配件）供货，价格按中标单价执行，交货时间按原投标承诺的时间执行。</w:t>
      </w:r>
      <w:r>
        <w:rPr>
          <w:rFonts w:hint="eastAsia" w:ascii="宋体" w:hAnsi="宋体" w:cs="宋体"/>
          <w:color w:val="auto"/>
          <w:kern w:val="0"/>
          <w:sz w:val="24"/>
          <w:szCs w:val="24"/>
          <w:highlight w:val="none"/>
          <w:shd w:val="clear" w:color="auto" w:fill="FFFFFF"/>
        </w:rPr>
        <w:t>若在合同期内卖方有任何产品型号或配件停产且无法提供符合买方要求的升级型号或配件则视为严重违约，卖方应按每款机型20000元向买方缴纳违约金，买方有权单方面解除采购合同，没收履约保证金并且有权与卖方之后第一位的中标候选供应商签订合同。</w:t>
      </w:r>
    </w:p>
    <w:p w14:paraId="2A59F65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9.13卖方承诺将无条件参与买方举办的壹年两次的政府大宗产品推介会，并且免费提供相应的中标机型作为样机展示，否则视为违约，卖方应按中标机型的中标单价向买方支付违约金，若卖方未向买方支付，则买方有权直接从履约保证金款项中直接给予扣除。</w:t>
      </w:r>
    </w:p>
    <w:p w14:paraId="5F9CF55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9.14高拍仪安装过程中或者保修期内及保修期外的维修维护过程中负责安装并检查牢固，如需要拆卸绿板时，绿板拆卸后需重新免费负责安装并检查牢固，否则导致高拍仪或者绿板脱落、掉落情况，每次卖方应向买方支付10000元违约金；严重情况出现伤人时，每次卖方应向买方支付20000元违约金；造成对买方客户可能的赔偿均由卖方承担，此费用买方有权在与卖方未结算货款时或履约保证金中扣除相应费用。若违约金不足以拟补损失时，卖方有权利要求买方增加违约金，需按实际损失赔偿。</w:t>
      </w:r>
    </w:p>
    <w:p w14:paraId="0A82909F">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9.15、</w:t>
      </w:r>
      <w:r>
        <w:rPr>
          <w:rFonts w:hint="default" w:ascii="宋体" w:hAnsi="宋体"/>
          <w:color w:val="auto"/>
          <w:sz w:val="24"/>
          <w:szCs w:val="24"/>
          <w:highlight w:val="none"/>
        </w:rPr>
        <w:t>若</w:t>
      </w:r>
      <w:r>
        <w:rPr>
          <w:rFonts w:hint="eastAsia" w:ascii="宋体" w:hAnsi="宋体"/>
          <w:color w:val="auto"/>
          <w:sz w:val="24"/>
          <w:szCs w:val="24"/>
          <w:highlight w:val="none"/>
        </w:rPr>
        <w:t>卖方未在规定时间内向</w:t>
      </w:r>
      <w:r>
        <w:rPr>
          <w:rFonts w:hint="default" w:ascii="宋体" w:hAnsi="宋体"/>
          <w:color w:val="auto"/>
          <w:sz w:val="24"/>
          <w:szCs w:val="24"/>
          <w:highlight w:val="none"/>
        </w:rPr>
        <w:t>买方</w:t>
      </w:r>
      <w:r>
        <w:rPr>
          <w:rFonts w:hint="eastAsia" w:ascii="宋体" w:hAnsi="宋体"/>
          <w:color w:val="auto"/>
          <w:sz w:val="24"/>
          <w:szCs w:val="24"/>
          <w:highlight w:val="none"/>
        </w:rPr>
        <w:t>支付安装及维保费用的，需支付该笔安装及维保款项0.5%的逾期违约金，且买方有权直接从卖方的履约保证金中扣除。</w:t>
      </w:r>
    </w:p>
    <w:p w14:paraId="5B00836A">
      <w:pPr>
        <w:spacing w:line="360" w:lineRule="auto"/>
        <w:rPr>
          <w:rFonts w:ascii="宋体" w:hAnsi="宋体"/>
          <w:b/>
          <w:color w:val="auto"/>
          <w:sz w:val="24"/>
          <w:highlight w:val="none"/>
        </w:rPr>
      </w:pPr>
      <w:r>
        <w:rPr>
          <w:rFonts w:ascii="宋体" w:hAnsi="宋体"/>
          <w:b/>
          <w:color w:val="auto"/>
          <w:sz w:val="24"/>
          <w:highlight w:val="none"/>
        </w:rPr>
        <w:t>1</w:t>
      </w:r>
      <w:r>
        <w:rPr>
          <w:rFonts w:hint="eastAsia" w:ascii="宋体" w:hAnsi="宋体"/>
          <w:b/>
          <w:color w:val="auto"/>
          <w:sz w:val="24"/>
          <w:highlight w:val="none"/>
        </w:rPr>
        <w:t>0、不可抗力</w:t>
      </w:r>
    </w:p>
    <w:p w14:paraId="01705F84">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3210BFB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31490DD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10.3当事人一方因不可抗力的原因不能履行合同的，应及时通知对方，以减轻可能给对方造成的损失，并应当在合理期限内提供证明。</w:t>
      </w:r>
    </w:p>
    <w:p w14:paraId="7985536D">
      <w:pPr>
        <w:numPr>
          <w:ilvl w:val="0"/>
          <w:numId w:val="5"/>
        </w:num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通知</w:t>
      </w:r>
    </w:p>
    <w:p w14:paraId="0683982E">
      <w:pPr>
        <w:spacing w:line="360" w:lineRule="auto"/>
        <w:ind w:firstLine="480" w:firstLineChars="200"/>
        <w:rPr>
          <w:rFonts w:ascii="宋体" w:hAnsi="宋体"/>
          <w:color w:val="auto"/>
          <w:sz w:val="24"/>
          <w:highlight w:val="none"/>
        </w:rPr>
      </w:pPr>
      <w:r>
        <w:rPr>
          <w:rFonts w:hint="eastAsia" w:ascii="宋体" w:hAnsi="宋体"/>
          <w:color w:val="auto"/>
          <w:sz w:val="24"/>
          <w:szCs w:val="24"/>
          <w:highlight w:val="none"/>
        </w:rPr>
        <w:t>双方同意凡与本合同有关的通知及文件资料的送达，可以采用直接送达、或以EMS快递或电子邮件发送至本合同签字页载明的联系地址或电子信箱，买方联系人为 ，电子邮箱为  ，联系电话为；   卖方联系人为，电子邮箱为 ，联系电话为 ；   直接送达的以签收之日为送达日，以EMS快递通知的，以发往上述联系地址之日视为送达，不论是否签收；以电子邮件通知的，以发生时间为送达时间。如同时采取多种方式发送通知的，以通知最先到达之日为送达日。电子邮箱、通讯地址、联系人等信息发生变更的，变更方应在变更前三天以书面形式告知对方；未告知的，视为未变更，由此导致通知及文件资料等不能送达或不能及时送达的后果由变更方自行承担。</w:t>
      </w:r>
      <w:r>
        <w:rPr>
          <w:rFonts w:hint="eastAsia" w:ascii="宋体" w:hAnsi="宋体"/>
          <w:color w:val="auto"/>
          <w:sz w:val="24"/>
          <w:szCs w:val="24"/>
          <w:highlight w:val="none"/>
        </w:rPr>
        <w:br w:type="textWrapping"/>
      </w:r>
      <w:r>
        <w:rPr>
          <w:rFonts w:hint="eastAsia" w:ascii="宋体" w:hAnsi="宋体"/>
          <w:color w:val="auto"/>
          <w:sz w:val="24"/>
          <w:szCs w:val="24"/>
          <w:highlight w:val="none"/>
        </w:rPr>
        <w:t>双方指定的送达地址适用于合同履行、非诉方式争议解决、诉讼（含一审、二审、再审）及执行等程序。</w:t>
      </w:r>
      <w:r>
        <w:rPr>
          <w:rFonts w:hint="eastAsia" w:ascii="宋体" w:hAnsi="宋体"/>
          <w:color w:val="auto"/>
          <w:sz w:val="24"/>
          <w:szCs w:val="24"/>
          <w:highlight w:val="none"/>
        </w:rPr>
        <w:br w:type="textWrapping"/>
      </w:r>
      <w:r>
        <w:rPr>
          <w:rFonts w:hint="eastAsia" w:ascii="宋体" w:hAnsi="宋体"/>
          <w:color w:val="auto"/>
          <w:sz w:val="24"/>
          <w:szCs w:val="24"/>
          <w:highlight w:val="none"/>
        </w:rPr>
        <w:t>上述送达具备《中华人民共和国民事诉讼法》规定送达效力，各方放弃提出异议、抗辩未依法送达的权利，产生的后果由各方自行承担。</w:t>
      </w:r>
    </w:p>
    <w:p w14:paraId="3D50D6C0">
      <w:pPr>
        <w:spacing w:line="360" w:lineRule="auto"/>
        <w:rPr>
          <w:rFonts w:ascii="宋体" w:hAnsi="宋体"/>
          <w:b/>
          <w:color w:val="auto"/>
          <w:sz w:val="24"/>
          <w:highlight w:val="none"/>
        </w:rPr>
      </w:pPr>
      <w:r>
        <w:rPr>
          <w:rFonts w:hint="eastAsia" w:ascii="宋体" w:hAnsi="宋体"/>
          <w:b/>
          <w:color w:val="auto"/>
          <w:sz w:val="24"/>
          <w:highlight w:val="none"/>
        </w:rPr>
        <w:t>12、合同纠纷处理方式</w:t>
      </w:r>
    </w:p>
    <w:p w14:paraId="62580A0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因本合同或与本合同有关的一切事项发生争议，由双方友好协商解决。协商不成的，任何一方均可向买方所在地人民法院提起诉讼。</w:t>
      </w:r>
    </w:p>
    <w:p w14:paraId="220C1C00">
      <w:pPr>
        <w:spacing w:line="360" w:lineRule="auto"/>
        <w:rPr>
          <w:rFonts w:ascii="宋体" w:hAnsi="宋体"/>
          <w:b/>
          <w:color w:val="auto"/>
          <w:sz w:val="24"/>
          <w:highlight w:val="none"/>
        </w:rPr>
      </w:pPr>
      <w:r>
        <w:rPr>
          <w:rFonts w:hint="eastAsia" w:ascii="宋体" w:hAnsi="宋体"/>
          <w:b/>
          <w:color w:val="auto"/>
          <w:sz w:val="24"/>
          <w:highlight w:val="none"/>
        </w:rPr>
        <w:t>13、其他约定</w:t>
      </w:r>
    </w:p>
    <w:p w14:paraId="1A29B7E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13.1本采购项目的招标（谈判）文件、卖方的投标（报价）文件、相关的澄清确认函（如果有的话）以及附件1《技术参数》、附件2《服务考核细则》均为本合同不可分割的一部分。</w:t>
      </w:r>
    </w:p>
    <w:p w14:paraId="75ABA963">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13.2本合同未尽事宜，双方另行补充。</w:t>
      </w:r>
    </w:p>
    <w:p w14:paraId="1D34C077">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13.3本合同一式伍份，经双方签订之日起生效。买方、卖方各执贰份，送厦门市财政局政府采购监管处备案一份，具有同等效力。</w:t>
      </w:r>
    </w:p>
    <w:p w14:paraId="156D48B8">
      <w:pPr>
        <w:widowControl/>
        <w:spacing w:line="360" w:lineRule="auto"/>
        <w:jc w:val="left"/>
        <w:rPr>
          <w:rFonts w:ascii="宋体" w:hAnsi="宋体" w:cs="宋体"/>
          <w:color w:val="auto"/>
          <w:kern w:val="0"/>
          <w:sz w:val="24"/>
          <w:szCs w:val="24"/>
          <w:highlight w:val="none"/>
        </w:rPr>
      </w:pPr>
      <w:r>
        <w:rPr>
          <w:rFonts w:ascii="宋体" w:hAnsi="宋体" w:cs="宋体"/>
          <w:color w:val="auto"/>
          <w:kern w:val="0"/>
          <w:sz w:val="24"/>
          <w:szCs w:val="24"/>
          <w:highlight w:val="none"/>
        </w:rPr>
        <w:t>买方(甲方)：厦门万翔网络商务有限公司  卖方（乙方）：</w:t>
      </w:r>
    </w:p>
    <w:p w14:paraId="57C33F58">
      <w:pPr>
        <w:widowControl/>
        <w:spacing w:line="360" w:lineRule="auto"/>
        <w:jc w:val="left"/>
        <w:rPr>
          <w:rFonts w:ascii="宋体" w:hAnsi="宋体" w:cs="宋体"/>
          <w:color w:val="auto"/>
          <w:kern w:val="0"/>
          <w:sz w:val="24"/>
          <w:szCs w:val="24"/>
          <w:highlight w:val="none"/>
        </w:rPr>
      </w:pPr>
      <w:r>
        <w:rPr>
          <w:rFonts w:ascii="宋体" w:hAnsi="宋体" w:cs="宋体"/>
          <w:color w:val="auto"/>
          <w:kern w:val="0"/>
          <w:sz w:val="24"/>
          <w:szCs w:val="24"/>
          <w:highlight w:val="none"/>
        </w:rPr>
        <w:t>单位地址：             </w:t>
      </w:r>
      <w:r>
        <w:rPr>
          <w:rFonts w:hint="eastAsia" w:ascii="宋体" w:hAnsi="宋体" w:cs="宋体"/>
          <w:color w:val="auto"/>
          <w:kern w:val="0"/>
          <w:sz w:val="24"/>
          <w:szCs w:val="24"/>
          <w:highlight w:val="none"/>
        </w:rPr>
        <w:t xml:space="preserve">    </w:t>
      </w:r>
      <w:r>
        <w:rPr>
          <w:rFonts w:ascii="宋体" w:hAnsi="宋体" w:cs="宋体"/>
          <w:color w:val="auto"/>
          <w:kern w:val="0"/>
          <w:sz w:val="24"/>
          <w:szCs w:val="24"/>
          <w:highlight w:val="none"/>
        </w:rPr>
        <w:t>单位地址： </w:t>
      </w:r>
    </w:p>
    <w:p w14:paraId="1F7058D5">
      <w:pPr>
        <w:widowControl/>
        <w:spacing w:line="360" w:lineRule="auto"/>
        <w:jc w:val="left"/>
        <w:rPr>
          <w:rFonts w:ascii="宋体" w:hAnsi="宋体" w:cs="宋体"/>
          <w:color w:val="auto"/>
          <w:kern w:val="0"/>
          <w:sz w:val="24"/>
          <w:szCs w:val="24"/>
          <w:highlight w:val="none"/>
        </w:rPr>
      </w:pPr>
      <w:r>
        <w:rPr>
          <w:rFonts w:ascii="宋体" w:hAnsi="宋体" w:cs="宋体"/>
          <w:color w:val="auto"/>
          <w:kern w:val="0"/>
          <w:sz w:val="24"/>
          <w:szCs w:val="24"/>
          <w:highlight w:val="none"/>
        </w:rPr>
        <w:t>法定代表人：              法定代表人：</w:t>
      </w:r>
    </w:p>
    <w:p w14:paraId="485EE151">
      <w:pPr>
        <w:widowControl/>
        <w:spacing w:line="360" w:lineRule="auto"/>
        <w:jc w:val="left"/>
        <w:rPr>
          <w:rFonts w:ascii="宋体" w:hAnsi="宋体" w:cs="宋体"/>
          <w:color w:val="auto"/>
          <w:kern w:val="0"/>
          <w:sz w:val="24"/>
          <w:szCs w:val="24"/>
          <w:highlight w:val="none"/>
        </w:rPr>
      </w:pPr>
      <w:r>
        <w:rPr>
          <w:rFonts w:ascii="宋体" w:hAnsi="宋体" w:cs="宋体"/>
          <w:color w:val="auto"/>
          <w:kern w:val="0"/>
          <w:sz w:val="24"/>
          <w:szCs w:val="24"/>
          <w:highlight w:val="none"/>
        </w:rPr>
        <w:t>授权代表：               授权代表：</w:t>
      </w:r>
    </w:p>
    <w:p w14:paraId="1BDC372F">
      <w:pPr>
        <w:widowControl/>
        <w:spacing w:line="360" w:lineRule="auto"/>
        <w:jc w:val="left"/>
        <w:rPr>
          <w:rFonts w:ascii="宋体" w:hAnsi="宋体" w:cs="宋体"/>
          <w:color w:val="auto"/>
          <w:kern w:val="0"/>
          <w:sz w:val="24"/>
          <w:szCs w:val="24"/>
          <w:highlight w:val="none"/>
        </w:rPr>
      </w:pPr>
      <w:r>
        <w:rPr>
          <w:rFonts w:ascii="宋体" w:hAnsi="宋体" w:cs="宋体"/>
          <w:color w:val="auto"/>
          <w:kern w:val="0"/>
          <w:sz w:val="24"/>
          <w:szCs w:val="24"/>
          <w:highlight w:val="none"/>
        </w:rPr>
        <w:t>签订时间：               签订时间：</w:t>
      </w:r>
    </w:p>
    <w:p w14:paraId="7F148707">
      <w:pPr>
        <w:widowControl/>
        <w:spacing w:line="360" w:lineRule="auto"/>
        <w:jc w:val="left"/>
        <w:rPr>
          <w:rFonts w:ascii="宋体" w:hAnsi="宋体" w:cs="宋体"/>
          <w:color w:val="auto"/>
          <w:kern w:val="0"/>
          <w:sz w:val="24"/>
          <w:szCs w:val="24"/>
          <w:highlight w:val="none"/>
        </w:rPr>
      </w:pPr>
      <w:r>
        <w:rPr>
          <w:rFonts w:ascii="宋体" w:hAnsi="宋体" w:cs="宋体"/>
          <w:color w:val="auto"/>
          <w:kern w:val="0"/>
          <w:sz w:val="24"/>
          <w:szCs w:val="24"/>
          <w:highlight w:val="none"/>
        </w:rPr>
        <w:t>电   话：              电   话：</w:t>
      </w:r>
    </w:p>
    <w:p w14:paraId="737BE922">
      <w:pPr>
        <w:widowControl/>
        <w:spacing w:line="360" w:lineRule="auto"/>
        <w:jc w:val="left"/>
        <w:rPr>
          <w:rFonts w:ascii="宋体" w:hAnsi="宋体" w:cs="宋体"/>
          <w:color w:val="auto"/>
          <w:kern w:val="0"/>
          <w:sz w:val="24"/>
          <w:szCs w:val="24"/>
          <w:highlight w:val="none"/>
        </w:rPr>
      </w:pPr>
      <w:r>
        <w:rPr>
          <w:rFonts w:ascii="宋体" w:hAnsi="宋体" w:cs="宋体"/>
          <w:color w:val="auto"/>
          <w:kern w:val="0"/>
          <w:sz w:val="24"/>
          <w:szCs w:val="24"/>
          <w:highlight w:val="none"/>
        </w:rPr>
        <w:t>开户银行：               开户银行：</w:t>
      </w:r>
    </w:p>
    <w:p w14:paraId="0F31B384">
      <w:pPr>
        <w:widowControl/>
        <w:spacing w:line="360" w:lineRule="auto"/>
        <w:jc w:val="left"/>
        <w:rPr>
          <w:rFonts w:ascii="宋体" w:hAnsi="宋体" w:cs="宋体"/>
          <w:color w:val="auto"/>
          <w:kern w:val="0"/>
          <w:sz w:val="24"/>
          <w:szCs w:val="24"/>
          <w:highlight w:val="none"/>
        </w:rPr>
      </w:pPr>
      <w:r>
        <w:rPr>
          <w:rFonts w:ascii="宋体" w:hAnsi="宋体" w:cs="宋体"/>
          <w:color w:val="auto"/>
          <w:kern w:val="0"/>
          <w:sz w:val="24"/>
          <w:szCs w:val="24"/>
          <w:highlight w:val="none"/>
        </w:rPr>
        <w:t>账   号：              账   号：</w:t>
      </w:r>
    </w:p>
    <w:p w14:paraId="40631A57">
      <w:pPr>
        <w:tabs>
          <w:tab w:val="left" w:pos="5130"/>
        </w:tabs>
        <w:spacing w:line="360" w:lineRule="auto"/>
        <w:ind w:firstLine="480" w:firstLineChars="200"/>
        <w:rPr>
          <w:rFonts w:ascii="宋体" w:hAnsi="宋体"/>
          <w:color w:val="auto"/>
          <w:sz w:val="24"/>
          <w:highlight w:val="none"/>
        </w:rPr>
      </w:pPr>
    </w:p>
    <w:p w14:paraId="494CDA53">
      <w:pPr>
        <w:spacing w:line="360" w:lineRule="auto"/>
        <w:jc w:val="center"/>
        <w:rPr>
          <w:rFonts w:ascii="宋体" w:hAnsi="宋体" w:cs="宋体"/>
          <w:color w:val="auto"/>
          <w:sz w:val="28"/>
          <w:szCs w:val="28"/>
          <w:highlight w:val="none"/>
        </w:rPr>
      </w:pPr>
    </w:p>
    <w:p w14:paraId="2DAEBCD8">
      <w:pPr>
        <w:tabs>
          <w:tab w:val="left" w:pos="5130"/>
        </w:tabs>
        <w:spacing w:line="360" w:lineRule="auto"/>
        <w:ind w:firstLine="480" w:firstLineChars="200"/>
        <w:rPr>
          <w:rFonts w:ascii="宋体" w:hAnsi="宋体" w:cs="宋体"/>
          <w:color w:val="auto"/>
          <w:sz w:val="24"/>
          <w:szCs w:val="24"/>
          <w:highlight w:val="none"/>
        </w:rPr>
      </w:pPr>
    </w:p>
    <w:p w14:paraId="63D508CB">
      <w:pPr>
        <w:tabs>
          <w:tab w:val="left" w:pos="5130"/>
        </w:tabs>
        <w:spacing w:line="360" w:lineRule="auto"/>
        <w:ind w:firstLine="480" w:firstLineChars="200"/>
        <w:rPr>
          <w:rFonts w:ascii="宋体" w:hAnsi="宋体" w:cs="宋体"/>
          <w:color w:val="auto"/>
          <w:sz w:val="24"/>
          <w:szCs w:val="24"/>
          <w:highlight w:val="none"/>
        </w:rPr>
      </w:pPr>
    </w:p>
    <w:p w14:paraId="40DA46A4">
      <w:pPr>
        <w:tabs>
          <w:tab w:val="left" w:pos="5130"/>
        </w:tabs>
        <w:spacing w:line="360" w:lineRule="auto"/>
        <w:ind w:firstLine="480" w:firstLineChars="200"/>
        <w:rPr>
          <w:rFonts w:ascii="宋体" w:hAnsi="宋体" w:cs="宋体"/>
          <w:color w:val="auto"/>
          <w:sz w:val="24"/>
          <w:szCs w:val="24"/>
          <w:highlight w:val="none"/>
        </w:rPr>
      </w:pPr>
    </w:p>
    <w:p w14:paraId="686AA2E4">
      <w:pPr>
        <w:tabs>
          <w:tab w:val="left" w:pos="5130"/>
        </w:tabs>
        <w:spacing w:line="360" w:lineRule="auto"/>
        <w:rPr>
          <w:rFonts w:ascii="宋体" w:hAnsi="宋体" w:cs="宋体"/>
          <w:color w:val="auto"/>
          <w:sz w:val="24"/>
          <w:szCs w:val="24"/>
          <w:highlight w:val="none"/>
        </w:rPr>
        <w:sectPr>
          <w:headerReference r:id="rId10" w:type="default"/>
          <w:footerReference r:id="rId11" w:type="default"/>
          <w:pgSz w:w="11906" w:h="16838"/>
          <w:pgMar w:top="1440" w:right="1800" w:bottom="1440" w:left="1800" w:header="851" w:footer="992" w:gutter="0"/>
          <w:pgNumType w:start="1"/>
          <w:cols w:space="720" w:num="1"/>
          <w:docGrid w:type="lines" w:linePitch="312" w:charSpace="0"/>
        </w:sectPr>
      </w:pPr>
    </w:p>
    <w:p w14:paraId="5B9A3966">
      <w:pPr>
        <w:widowControl/>
        <w:jc w:val="left"/>
        <w:rPr>
          <w:rFonts w:ascii="宋体" w:hAnsi="宋体"/>
          <w:color w:val="auto"/>
          <w:sz w:val="24"/>
          <w:szCs w:val="24"/>
          <w:highlight w:val="none"/>
        </w:rPr>
      </w:pPr>
      <w:r>
        <w:rPr>
          <w:rFonts w:hint="eastAsia" w:ascii="宋体" w:hAnsi="宋体" w:cs="宋体"/>
          <w:color w:val="auto"/>
          <w:sz w:val="24"/>
          <w:szCs w:val="24"/>
          <w:highlight w:val="none"/>
        </w:rPr>
        <w:t>附件1《技术参数》</w:t>
      </w:r>
    </w:p>
    <w:p w14:paraId="4E3D00F0">
      <w:pPr>
        <w:widowControl/>
        <w:jc w:val="left"/>
        <w:rPr>
          <w:rFonts w:ascii="宋体" w:hAnsi="宋体"/>
          <w:color w:val="auto"/>
          <w:sz w:val="24"/>
          <w:szCs w:val="24"/>
          <w:highlight w:val="none"/>
        </w:rPr>
      </w:pPr>
      <w:r>
        <w:rPr>
          <w:rFonts w:hint="eastAsia" w:ascii="宋体" w:hAnsi="宋体"/>
          <w:color w:val="auto"/>
          <w:sz w:val="24"/>
          <w:szCs w:val="24"/>
          <w:highlight w:val="none"/>
        </w:rPr>
        <w:t xml:space="preserve"> </w:t>
      </w:r>
    </w:p>
    <w:p w14:paraId="78BF210D">
      <w:pPr>
        <w:widowControl/>
        <w:jc w:val="left"/>
        <w:rPr>
          <w:rFonts w:ascii="宋体" w:hAnsi="宋体"/>
          <w:color w:val="auto"/>
          <w:sz w:val="24"/>
          <w:szCs w:val="24"/>
          <w:highlight w:val="none"/>
        </w:rPr>
      </w:pPr>
      <w:r>
        <w:rPr>
          <w:rFonts w:hint="eastAsia" w:ascii="宋体" w:hAnsi="宋体"/>
          <w:color w:val="auto"/>
          <w:sz w:val="24"/>
          <w:szCs w:val="24"/>
          <w:highlight w:val="none"/>
        </w:rPr>
        <w:t xml:space="preserve"> </w:t>
      </w:r>
    </w:p>
    <w:p w14:paraId="1E9B5A5D">
      <w:pPr>
        <w:rPr>
          <w:color w:val="auto"/>
          <w:sz w:val="24"/>
          <w:szCs w:val="24"/>
          <w:highlight w:val="none"/>
        </w:rPr>
      </w:pPr>
      <w:r>
        <w:rPr>
          <w:rFonts w:hint="eastAsia" w:ascii="宋体" w:hAnsi="宋体" w:cs="宋体"/>
          <w:color w:val="auto"/>
          <w:sz w:val="24"/>
          <w:szCs w:val="24"/>
          <w:highlight w:val="none"/>
        </w:rPr>
        <w:t>附件2《服务考核细则》</w:t>
      </w:r>
    </w:p>
    <w:p w14:paraId="52A9738E">
      <w:pPr>
        <w:rPr>
          <w:color w:val="auto"/>
          <w:sz w:val="24"/>
          <w:szCs w:val="24"/>
          <w:highlight w:val="none"/>
        </w:rPr>
      </w:pPr>
      <w:r>
        <w:rPr>
          <w:color w:val="auto"/>
          <w:sz w:val="24"/>
          <w:szCs w:val="24"/>
          <w:highlight w:val="none"/>
        </w:rPr>
        <w:t xml:space="preserve"> </w:t>
      </w:r>
    </w:p>
    <w:p w14:paraId="7267D33F">
      <w:pPr>
        <w:jc w:val="center"/>
        <w:rPr>
          <w:color w:val="auto"/>
          <w:sz w:val="32"/>
          <w:szCs w:val="32"/>
          <w:highlight w:val="none"/>
        </w:rPr>
      </w:pPr>
      <w:r>
        <w:rPr>
          <w:rFonts w:hint="eastAsia" w:ascii="宋体" w:hAnsi="宋体" w:cs="宋体"/>
          <w:color w:val="auto"/>
          <w:sz w:val="32"/>
          <w:szCs w:val="32"/>
          <w:highlight w:val="none"/>
        </w:rPr>
        <w:t>大宗服务考核指标</w:t>
      </w:r>
    </w:p>
    <w:tbl>
      <w:tblPr>
        <w:tblStyle w:val="12"/>
        <w:tblW w:w="13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5"/>
        <w:gridCol w:w="719"/>
        <w:gridCol w:w="2448"/>
        <w:gridCol w:w="1559"/>
        <w:gridCol w:w="4253"/>
        <w:gridCol w:w="2126"/>
        <w:gridCol w:w="2126"/>
      </w:tblGrid>
      <w:tr w14:paraId="7352F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01FA9700">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719" w:type="dxa"/>
            <w:tcBorders>
              <w:top w:val="single" w:color="auto" w:sz="4" w:space="0"/>
              <w:left w:val="single" w:color="auto" w:sz="4" w:space="0"/>
              <w:bottom w:val="single" w:color="auto" w:sz="4" w:space="0"/>
              <w:right w:val="single" w:color="auto" w:sz="4" w:space="0"/>
            </w:tcBorders>
            <w:shd w:val="clear" w:color="auto" w:fill="auto"/>
          </w:tcPr>
          <w:p w14:paraId="78348953">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考核项目</w:t>
            </w:r>
          </w:p>
        </w:tc>
        <w:tc>
          <w:tcPr>
            <w:tcW w:w="2448" w:type="dxa"/>
            <w:tcBorders>
              <w:top w:val="single" w:color="auto" w:sz="4" w:space="0"/>
              <w:left w:val="single" w:color="auto" w:sz="4" w:space="0"/>
              <w:bottom w:val="single" w:color="auto" w:sz="4" w:space="0"/>
              <w:right w:val="single" w:color="auto" w:sz="4" w:space="0"/>
            </w:tcBorders>
            <w:shd w:val="clear" w:color="auto" w:fill="auto"/>
          </w:tcPr>
          <w:p w14:paraId="2A3580DB">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考核说明</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2355CBA4">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涉及服务环节</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103456E7">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供应商服务要求</w:t>
            </w:r>
          </w:p>
        </w:tc>
        <w:tc>
          <w:tcPr>
            <w:tcW w:w="2126" w:type="dxa"/>
            <w:tcBorders>
              <w:top w:val="single" w:color="auto" w:sz="4" w:space="0"/>
              <w:left w:val="single" w:color="auto" w:sz="4" w:space="0"/>
              <w:bottom w:val="single" w:color="auto" w:sz="4" w:space="0"/>
              <w:right w:val="single" w:color="auto" w:sz="4" w:space="0"/>
            </w:tcBorders>
            <w:shd w:val="clear" w:color="auto" w:fill="auto"/>
            <w:noWrap/>
          </w:tcPr>
          <w:p w14:paraId="003C54F4">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考核标准</w:t>
            </w:r>
          </w:p>
        </w:tc>
        <w:tc>
          <w:tcPr>
            <w:tcW w:w="2126" w:type="dxa"/>
            <w:tcBorders>
              <w:top w:val="single" w:color="auto" w:sz="4" w:space="0"/>
              <w:left w:val="single" w:color="auto" w:sz="4" w:space="0"/>
              <w:bottom w:val="single" w:color="auto" w:sz="4" w:space="0"/>
              <w:right w:val="single" w:color="auto" w:sz="4" w:space="0"/>
            </w:tcBorders>
            <w:shd w:val="clear" w:color="auto" w:fill="auto"/>
            <w:noWrap/>
          </w:tcPr>
          <w:p w14:paraId="488CD91C">
            <w:pPr>
              <w:widowControl/>
              <w:jc w:val="center"/>
              <w:rPr>
                <w:rFonts w:ascii="宋体" w:hAnsi="宋体" w:cs="宋体"/>
                <w:b/>
                <w:bCs/>
                <w:color w:val="auto"/>
                <w:szCs w:val="21"/>
                <w:highlight w:val="none"/>
              </w:rPr>
            </w:pPr>
            <w:r>
              <w:rPr>
                <w:rFonts w:hint="eastAsia" w:ascii="宋体" w:hAnsi="宋体" w:cs="宋体"/>
                <w:b/>
                <w:bCs/>
                <w:color w:val="auto"/>
                <w:szCs w:val="21"/>
                <w:highlight w:val="none"/>
              </w:rPr>
              <w:t>考核金额</w:t>
            </w:r>
          </w:p>
        </w:tc>
      </w:tr>
      <w:tr w14:paraId="3390F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007EEE23">
            <w:pPr>
              <w:widowControl/>
              <w:jc w:val="center"/>
              <w:rPr>
                <w:rFonts w:ascii="宋体" w:hAnsi="宋体" w:cs="宋体"/>
                <w:color w:val="auto"/>
                <w:szCs w:val="21"/>
                <w:highlight w:val="none"/>
              </w:rPr>
            </w:pPr>
            <w:r>
              <w:rPr>
                <w:rFonts w:hint="eastAsia" w:ascii="宋体" w:hAnsi="宋体" w:cs="宋体"/>
                <w:color w:val="auto"/>
                <w:szCs w:val="21"/>
                <w:highlight w:val="none"/>
              </w:rPr>
              <w:t>1</w:t>
            </w:r>
          </w:p>
        </w:tc>
        <w:tc>
          <w:tcPr>
            <w:tcW w:w="719" w:type="dxa"/>
            <w:vMerge w:val="restart"/>
            <w:tcBorders>
              <w:top w:val="nil"/>
              <w:left w:val="single" w:color="auto" w:sz="4" w:space="0"/>
              <w:bottom w:val="single" w:color="auto" w:sz="4" w:space="0"/>
              <w:right w:val="single" w:color="auto" w:sz="4" w:space="0"/>
            </w:tcBorders>
            <w:shd w:val="clear" w:color="auto" w:fill="auto"/>
          </w:tcPr>
          <w:p w14:paraId="30871F1C">
            <w:pPr>
              <w:widowControl/>
              <w:jc w:val="center"/>
              <w:rPr>
                <w:rFonts w:ascii="宋体" w:hAnsi="宋体" w:cs="宋体"/>
                <w:color w:val="auto"/>
                <w:szCs w:val="21"/>
                <w:highlight w:val="none"/>
              </w:rPr>
            </w:pPr>
            <w:r>
              <w:rPr>
                <w:rFonts w:hint="eastAsia" w:ascii="宋体" w:hAnsi="宋体" w:cs="宋体"/>
                <w:color w:val="auto"/>
                <w:szCs w:val="21"/>
                <w:highlight w:val="none"/>
              </w:rPr>
              <w:t>服务效率</w:t>
            </w:r>
          </w:p>
        </w:tc>
        <w:tc>
          <w:tcPr>
            <w:tcW w:w="2448" w:type="dxa"/>
            <w:vMerge w:val="restart"/>
            <w:tcBorders>
              <w:top w:val="nil"/>
              <w:left w:val="single" w:color="auto" w:sz="4" w:space="0"/>
              <w:bottom w:val="single" w:color="auto" w:sz="4" w:space="0"/>
              <w:right w:val="single" w:color="auto" w:sz="4" w:space="0"/>
            </w:tcBorders>
            <w:shd w:val="clear" w:color="auto" w:fill="auto"/>
          </w:tcPr>
          <w:p w14:paraId="729E25B2">
            <w:pPr>
              <w:widowControl/>
              <w:jc w:val="left"/>
              <w:rPr>
                <w:rFonts w:ascii="宋体" w:hAnsi="宋体" w:cs="宋体"/>
                <w:color w:val="auto"/>
                <w:szCs w:val="21"/>
                <w:highlight w:val="none"/>
              </w:rPr>
            </w:pPr>
            <w:r>
              <w:rPr>
                <w:rFonts w:hint="eastAsia" w:ascii="宋体" w:hAnsi="宋体" w:cs="宋体"/>
                <w:color w:val="auto"/>
                <w:szCs w:val="21"/>
                <w:highlight w:val="none"/>
              </w:rPr>
              <w:t>1、服务响应不及时或服务时间超出约定时间，且未提前与最终用户做好沟通，或未经最终用户同意。</w:t>
            </w:r>
            <w:r>
              <w:rPr>
                <w:rFonts w:hint="eastAsia" w:ascii="宋体" w:hAnsi="宋体" w:cs="宋体"/>
                <w:color w:val="auto"/>
                <w:szCs w:val="21"/>
                <w:highlight w:val="none"/>
              </w:rPr>
              <w:br w:type="textWrapping"/>
            </w:r>
            <w:r>
              <w:rPr>
                <w:rFonts w:hint="eastAsia" w:ascii="宋体" w:hAnsi="宋体" w:cs="宋体"/>
                <w:color w:val="auto"/>
                <w:szCs w:val="21"/>
                <w:highlight w:val="none"/>
              </w:rPr>
              <w:t>2、未在规定时间内解决最终用户的正当需求，最终用户要求但未提供备用机；</w:t>
            </w:r>
            <w:r>
              <w:rPr>
                <w:rFonts w:hint="eastAsia" w:ascii="宋体" w:hAnsi="宋体" w:cs="宋体"/>
                <w:color w:val="auto"/>
                <w:szCs w:val="21"/>
                <w:highlight w:val="none"/>
              </w:rPr>
              <w:br w:type="textWrapping"/>
            </w:r>
            <w:r>
              <w:rPr>
                <w:rFonts w:hint="eastAsia" w:ascii="宋体" w:hAnsi="宋体" w:cs="宋体"/>
                <w:color w:val="auto"/>
                <w:szCs w:val="21"/>
                <w:highlight w:val="none"/>
              </w:rPr>
              <w:t>3、设备维修时超出约定时间仍未修复的；</w:t>
            </w:r>
            <w:r>
              <w:rPr>
                <w:rFonts w:hint="eastAsia" w:ascii="宋体" w:hAnsi="宋体" w:cs="宋体"/>
                <w:color w:val="auto"/>
                <w:szCs w:val="21"/>
                <w:highlight w:val="none"/>
              </w:rPr>
              <w:br w:type="textWrapping"/>
            </w:r>
            <w:r>
              <w:rPr>
                <w:rFonts w:hint="eastAsia" w:ascii="宋体" w:hAnsi="宋体" w:cs="宋体"/>
                <w:color w:val="auto"/>
                <w:szCs w:val="21"/>
                <w:highlight w:val="none"/>
              </w:rPr>
              <w:t>4、需要提供服务的设备超出一台且满足上述任一条件的，按200元/台/次考核</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31096E6A">
            <w:pPr>
              <w:widowControl/>
              <w:jc w:val="left"/>
              <w:rPr>
                <w:rFonts w:ascii="宋体" w:hAnsi="宋体" w:cs="宋体"/>
                <w:color w:val="auto"/>
                <w:szCs w:val="21"/>
                <w:highlight w:val="none"/>
              </w:rPr>
            </w:pPr>
            <w:r>
              <w:rPr>
                <w:rFonts w:hint="eastAsia" w:ascii="宋体" w:hAnsi="宋体" w:cs="宋体"/>
                <w:color w:val="auto"/>
                <w:szCs w:val="21"/>
                <w:highlight w:val="none"/>
              </w:rPr>
              <w:t>电话响应时效</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6F20CC23">
            <w:pPr>
              <w:widowControl/>
              <w:jc w:val="left"/>
              <w:rPr>
                <w:rFonts w:ascii="宋体" w:hAnsi="宋体" w:cs="宋体"/>
                <w:color w:val="auto"/>
                <w:szCs w:val="21"/>
                <w:highlight w:val="none"/>
              </w:rPr>
            </w:pPr>
            <w:r>
              <w:rPr>
                <w:rFonts w:hint="eastAsia" w:ascii="宋体" w:hAnsi="宋体" w:cs="宋体"/>
                <w:color w:val="auto"/>
                <w:szCs w:val="21"/>
                <w:highlight w:val="none"/>
              </w:rPr>
              <w:t>收到万翔客服专员通知后，在1个工作小时内联系客户约定上门时间；并及时将约定时间反馈给万翔客服专员。</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4F0A5EFA">
            <w:pPr>
              <w:widowControl/>
              <w:jc w:val="left"/>
              <w:rPr>
                <w:rFonts w:ascii="宋体" w:hAnsi="宋体" w:cs="宋体"/>
                <w:color w:val="auto"/>
                <w:szCs w:val="21"/>
                <w:highlight w:val="none"/>
              </w:rPr>
            </w:pPr>
            <w:r>
              <w:rPr>
                <w:rFonts w:hint="eastAsia" w:ascii="宋体" w:hAnsi="宋体" w:cs="宋体"/>
                <w:color w:val="auto"/>
                <w:szCs w:val="21"/>
                <w:highlight w:val="none"/>
              </w:rPr>
              <w:t>万翔客服专员报单后1个工作小时内</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1D8C8A30">
            <w:pPr>
              <w:widowControl/>
              <w:jc w:val="left"/>
              <w:rPr>
                <w:rFonts w:ascii="宋体" w:hAnsi="宋体" w:cs="宋体"/>
                <w:color w:val="auto"/>
                <w:szCs w:val="21"/>
                <w:highlight w:val="none"/>
              </w:rPr>
            </w:pPr>
            <w:r>
              <w:rPr>
                <w:rFonts w:hint="eastAsia" w:ascii="宋体" w:hAnsi="宋体" w:cs="宋体"/>
                <w:color w:val="auto"/>
                <w:szCs w:val="21"/>
                <w:highlight w:val="none"/>
              </w:rPr>
              <w:t>400元/次+（N-1）*200元/台/次</w:t>
            </w:r>
          </w:p>
        </w:tc>
      </w:tr>
      <w:tr w14:paraId="515BA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49166AAC">
            <w:pPr>
              <w:widowControl/>
              <w:jc w:val="center"/>
              <w:rPr>
                <w:rFonts w:ascii="宋体" w:hAnsi="宋体" w:cs="宋体"/>
                <w:color w:val="auto"/>
                <w:szCs w:val="21"/>
                <w:highlight w:val="none"/>
              </w:rPr>
            </w:pPr>
            <w:r>
              <w:rPr>
                <w:rFonts w:hint="eastAsia" w:ascii="宋体" w:hAnsi="宋体" w:cs="宋体"/>
                <w:color w:val="auto"/>
                <w:szCs w:val="21"/>
                <w:highlight w:val="none"/>
              </w:rPr>
              <w:t>2</w:t>
            </w:r>
          </w:p>
        </w:tc>
        <w:tc>
          <w:tcPr>
            <w:tcW w:w="719" w:type="dxa"/>
            <w:vMerge w:val="continue"/>
            <w:tcBorders>
              <w:top w:val="nil"/>
              <w:left w:val="single" w:color="auto" w:sz="4" w:space="0"/>
              <w:bottom w:val="single" w:color="auto" w:sz="4" w:space="0"/>
              <w:right w:val="single" w:color="auto" w:sz="4" w:space="0"/>
            </w:tcBorders>
            <w:shd w:val="clear" w:color="auto" w:fill="auto"/>
          </w:tcPr>
          <w:p w14:paraId="19940A7C">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504E3C78">
            <w:pPr>
              <w:rPr>
                <w:color w:val="auto"/>
                <w:sz w:val="20"/>
                <w:szCs w:val="20"/>
                <w:highlight w:val="none"/>
              </w:rPr>
            </w:pPr>
          </w:p>
        </w:tc>
        <w:tc>
          <w:tcPr>
            <w:tcW w:w="1559" w:type="dxa"/>
            <w:vMerge w:val="restart"/>
            <w:tcBorders>
              <w:top w:val="nil"/>
              <w:left w:val="single" w:color="auto" w:sz="4" w:space="0"/>
              <w:bottom w:val="single" w:color="auto" w:sz="4" w:space="0"/>
              <w:right w:val="single" w:color="auto" w:sz="4" w:space="0"/>
            </w:tcBorders>
            <w:shd w:val="clear" w:color="auto" w:fill="auto"/>
          </w:tcPr>
          <w:p w14:paraId="6660CA9B">
            <w:pPr>
              <w:widowControl/>
              <w:jc w:val="left"/>
              <w:rPr>
                <w:rFonts w:ascii="宋体" w:hAnsi="宋体" w:cs="宋体"/>
                <w:color w:val="auto"/>
                <w:szCs w:val="21"/>
                <w:highlight w:val="none"/>
              </w:rPr>
            </w:pPr>
            <w:r>
              <w:rPr>
                <w:rFonts w:hint="eastAsia" w:ascii="宋体" w:hAnsi="宋体" w:cs="宋体"/>
                <w:color w:val="auto"/>
                <w:szCs w:val="21"/>
                <w:highlight w:val="none"/>
              </w:rPr>
              <w:t>上门服务时效</w:t>
            </w:r>
          </w:p>
        </w:tc>
        <w:tc>
          <w:tcPr>
            <w:tcW w:w="4253" w:type="dxa"/>
            <w:vMerge w:val="restart"/>
            <w:tcBorders>
              <w:top w:val="nil"/>
              <w:left w:val="single" w:color="auto" w:sz="4" w:space="0"/>
              <w:bottom w:val="single" w:color="auto" w:sz="4" w:space="0"/>
              <w:right w:val="single" w:color="auto" w:sz="4" w:space="0"/>
            </w:tcBorders>
            <w:shd w:val="clear" w:color="auto" w:fill="auto"/>
          </w:tcPr>
          <w:p w14:paraId="26C91955">
            <w:pPr>
              <w:widowControl/>
              <w:jc w:val="left"/>
              <w:rPr>
                <w:rFonts w:ascii="宋体" w:hAnsi="宋体" w:cs="宋体"/>
                <w:color w:val="auto"/>
                <w:szCs w:val="21"/>
                <w:highlight w:val="none"/>
              </w:rPr>
            </w:pPr>
            <w:r>
              <w:rPr>
                <w:rFonts w:hint="eastAsia" w:ascii="宋体" w:hAnsi="宋体" w:cs="宋体"/>
                <w:color w:val="auto"/>
                <w:szCs w:val="21"/>
                <w:highlight w:val="none"/>
              </w:rPr>
              <w:t>接到万翔客服专员通知后24小时上门。</w:t>
            </w:r>
            <w:r>
              <w:rPr>
                <w:rFonts w:hint="eastAsia" w:ascii="宋体" w:hAnsi="宋体" w:cs="宋体"/>
                <w:color w:val="auto"/>
                <w:szCs w:val="21"/>
                <w:highlight w:val="none"/>
              </w:rPr>
              <w:br w:type="textWrapping"/>
            </w:r>
            <w:r>
              <w:rPr>
                <w:rFonts w:hint="eastAsia" w:ascii="宋体" w:hAnsi="宋体" w:cs="宋体"/>
                <w:color w:val="auto"/>
                <w:szCs w:val="21"/>
                <w:highlight w:val="none"/>
              </w:rPr>
              <w:t>如特殊情况不能按约定时间上门，必须提前联系最终用户且征得最终用户的同意，同时重新预约上门服务时间，并务必保证按此约定时间上门。或者万翔客服有权安排其它安装人员上门安装。</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7673BF9C">
            <w:pPr>
              <w:widowControl/>
              <w:jc w:val="left"/>
              <w:rPr>
                <w:rFonts w:ascii="宋体" w:hAnsi="宋体" w:cs="宋体"/>
                <w:color w:val="auto"/>
                <w:szCs w:val="21"/>
                <w:highlight w:val="none"/>
              </w:rPr>
            </w:pPr>
            <w:r>
              <w:rPr>
                <w:rFonts w:hint="eastAsia" w:ascii="宋体" w:hAnsi="宋体" w:cs="宋体"/>
                <w:color w:val="auto"/>
                <w:szCs w:val="21"/>
                <w:highlight w:val="none"/>
              </w:rPr>
              <w:t>万翔客服专员报单后</w:t>
            </w:r>
            <w:r>
              <w:rPr>
                <w:rFonts w:hint="default" w:ascii="宋体" w:hAnsi="宋体" w:cs="宋体"/>
                <w:color w:val="auto"/>
                <w:szCs w:val="21"/>
                <w:highlight w:val="none"/>
              </w:rPr>
              <w:t>24</w:t>
            </w:r>
            <w:r>
              <w:rPr>
                <w:rFonts w:hint="eastAsia" w:ascii="宋体" w:hAnsi="宋体" w:cs="宋体"/>
                <w:color w:val="auto"/>
                <w:szCs w:val="21"/>
                <w:highlight w:val="none"/>
              </w:rPr>
              <w:t>小时内</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6692046F">
            <w:pPr>
              <w:widowControl/>
              <w:jc w:val="left"/>
              <w:rPr>
                <w:rFonts w:ascii="宋体" w:hAnsi="宋体" w:cs="宋体"/>
                <w:color w:val="auto"/>
                <w:szCs w:val="21"/>
                <w:highlight w:val="none"/>
              </w:rPr>
            </w:pPr>
            <w:r>
              <w:rPr>
                <w:rFonts w:hint="eastAsia" w:ascii="宋体" w:hAnsi="宋体" w:cs="宋体"/>
                <w:color w:val="auto"/>
                <w:szCs w:val="21"/>
                <w:highlight w:val="none"/>
              </w:rPr>
              <w:t>400元/次+（N-1）*200元/台/次</w:t>
            </w:r>
          </w:p>
        </w:tc>
      </w:tr>
      <w:tr w14:paraId="3C685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61689CE3">
            <w:pPr>
              <w:widowControl/>
              <w:jc w:val="center"/>
              <w:rPr>
                <w:rFonts w:ascii="宋体" w:hAnsi="宋体" w:cs="宋体"/>
                <w:color w:val="auto"/>
                <w:szCs w:val="21"/>
                <w:highlight w:val="none"/>
              </w:rPr>
            </w:pPr>
            <w:r>
              <w:rPr>
                <w:rFonts w:hint="eastAsia" w:ascii="宋体" w:hAnsi="宋体" w:cs="宋体"/>
                <w:color w:val="auto"/>
                <w:szCs w:val="21"/>
                <w:highlight w:val="none"/>
              </w:rPr>
              <w:t>3</w:t>
            </w:r>
          </w:p>
        </w:tc>
        <w:tc>
          <w:tcPr>
            <w:tcW w:w="719" w:type="dxa"/>
            <w:vMerge w:val="continue"/>
            <w:tcBorders>
              <w:top w:val="nil"/>
              <w:left w:val="single" w:color="auto" w:sz="4" w:space="0"/>
              <w:bottom w:val="single" w:color="auto" w:sz="4" w:space="0"/>
              <w:right w:val="single" w:color="auto" w:sz="4" w:space="0"/>
            </w:tcBorders>
            <w:shd w:val="clear" w:color="auto" w:fill="auto"/>
          </w:tcPr>
          <w:p w14:paraId="5D1D9817">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5CF14A0F">
            <w:pPr>
              <w:rPr>
                <w:color w:val="auto"/>
                <w:sz w:val="20"/>
                <w:szCs w:val="20"/>
                <w:highlight w:val="none"/>
              </w:rPr>
            </w:pPr>
          </w:p>
        </w:tc>
        <w:tc>
          <w:tcPr>
            <w:tcW w:w="1559" w:type="dxa"/>
            <w:vMerge w:val="continue"/>
            <w:tcBorders>
              <w:top w:val="nil"/>
              <w:left w:val="single" w:color="auto" w:sz="4" w:space="0"/>
              <w:bottom w:val="single" w:color="auto" w:sz="4" w:space="0"/>
              <w:right w:val="single" w:color="auto" w:sz="4" w:space="0"/>
            </w:tcBorders>
            <w:shd w:val="clear" w:color="auto" w:fill="auto"/>
          </w:tcPr>
          <w:p w14:paraId="11980B50">
            <w:pPr>
              <w:rPr>
                <w:color w:val="auto"/>
                <w:sz w:val="20"/>
                <w:szCs w:val="20"/>
                <w:highlight w:val="none"/>
              </w:rPr>
            </w:pPr>
          </w:p>
        </w:tc>
        <w:tc>
          <w:tcPr>
            <w:tcW w:w="4253" w:type="dxa"/>
            <w:vMerge w:val="continue"/>
            <w:tcBorders>
              <w:top w:val="nil"/>
              <w:left w:val="single" w:color="auto" w:sz="4" w:space="0"/>
              <w:bottom w:val="single" w:color="auto" w:sz="4" w:space="0"/>
              <w:right w:val="single" w:color="auto" w:sz="4" w:space="0"/>
            </w:tcBorders>
            <w:shd w:val="clear" w:color="auto" w:fill="auto"/>
          </w:tcPr>
          <w:p w14:paraId="51CF712B">
            <w:pPr>
              <w:rPr>
                <w:color w:val="auto"/>
                <w:sz w:val="20"/>
                <w:szCs w:val="2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69B403E7">
            <w:pPr>
              <w:widowControl/>
              <w:jc w:val="left"/>
              <w:rPr>
                <w:rFonts w:ascii="宋体" w:hAnsi="宋体" w:cs="宋体"/>
                <w:color w:val="auto"/>
                <w:szCs w:val="21"/>
                <w:highlight w:val="none"/>
              </w:rPr>
            </w:pPr>
            <w:r>
              <w:rPr>
                <w:rFonts w:hint="eastAsia" w:ascii="宋体" w:hAnsi="宋体" w:cs="宋体"/>
                <w:color w:val="auto"/>
                <w:szCs w:val="21"/>
                <w:highlight w:val="none"/>
              </w:rPr>
              <w:t>因</w:t>
            </w:r>
            <w:r>
              <w:rPr>
                <w:rFonts w:hint="eastAsia" w:ascii="宋体" w:hAnsi="宋体" w:cs="宋体"/>
                <w:b/>
                <w:bCs/>
                <w:color w:val="auto"/>
                <w:szCs w:val="21"/>
                <w:highlight w:val="none"/>
              </w:rPr>
              <w:t>客户原因</w:t>
            </w:r>
            <w:r>
              <w:rPr>
                <w:rFonts w:hint="eastAsia" w:ascii="宋体" w:hAnsi="宋体" w:cs="宋体"/>
                <w:color w:val="auto"/>
                <w:szCs w:val="21"/>
                <w:highlight w:val="none"/>
              </w:rPr>
              <w:t>需延后上门时间并另外约定上门时间，需在承诺的时间内达到</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4A88B9DD">
            <w:pPr>
              <w:widowControl/>
              <w:jc w:val="left"/>
              <w:rPr>
                <w:rFonts w:ascii="宋体" w:hAnsi="宋体" w:cs="宋体"/>
                <w:color w:val="auto"/>
                <w:szCs w:val="21"/>
                <w:highlight w:val="none"/>
              </w:rPr>
            </w:pPr>
            <w:r>
              <w:rPr>
                <w:rFonts w:hint="eastAsia" w:ascii="宋体" w:hAnsi="宋体" w:cs="宋体"/>
                <w:color w:val="auto"/>
                <w:szCs w:val="21"/>
                <w:highlight w:val="none"/>
              </w:rPr>
              <w:t>400元/次+（N-1）*200元/台/次</w:t>
            </w:r>
          </w:p>
        </w:tc>
      </w:tr>
      <w:tr w14:paraId="6F720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58213B96">
            <w:pPr>
              <w:widowControl/>
              <w:jc w:val="center"/>
              <w:rPr>
                <w:rFonts w:ascii="宋体" w:hAnsi="宋体" w:cs="宋体"/>
                <w:color w:val="auto"/>
                <w:szCs w:val="21"/>
                <w:highlight w:val="none"/>
              </w:rPr>
            </w:pPr>
            <w:r>
              <w:rPr>
                <w:rFonts w:hint="eastAsia" w:ascii="宋体" w:hAnsi="宋体" w:cs="宋体"/>
                <w:color w:val="auto"/>
                <w:szCs w:val="21"/>
                <w:highlight w:val="none"/>
              </w:rPr>
              <w:t>4</w:t>
            </w:r>
          </w:p>
        </w:tc>
        <w:tc>
          <w:tcPr>
            <w:tcW w:w="719" w:type="dxa"/>
            <w:vMerge w:val="continue"/>
            <w:tcBorders>
              <w:top w:val="nil"/>
              <w:left w:val="single" w:color="auto" w:sz="4" w:space="0"/>
              <w:bottom w:val="single" w:color="auto" w:sz="4" w:space="0"/>
              <w:right w:val="single" w:color="auto" w:sz="4" w:space="0"/>
            </w:tcBorders>
            <w:shd w:val="clear" w:color="auto" w:fill="auto"/>
          </w:tcPr>
          <w:p w14:paraId="36C46BCF">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5F1CF21A">
            <w:pPr>
              <w:rPr>
                <w:color w:val="auto"/>
                <w:sz w:val="20"/>
                <w:szCs w:val="20"/>
                <w:highlight w:val="none"/>
              </w:rPr>
            </w:pPr>
          </w:p>
        </w:tc>
        <w:tc>
          <w:tcPr>
            <w:tcW w:w="1559" w:type="dxa"/>
            <w:vMerge w:val="restart"/>
            <w:tcBorders>
              <w:top w:val="nil"/>
              <w:left w:val="single" w:color="auto" w:sz="4" w:space="0"/>
              <w:bottom w:val="single" w:color="auto" w:sz="4" w:space="0"/>
              <w:right w:val="single" w:color="auto" w:sz="4" w:space="0"/>
            </w:tcBorders>
            <w:shd w:val="clear" w:color="auto" w:fill="auto"/>
          </w:tcPr>
          <w:p w14:paraId="2E9791F4">
            <w:pPr>
              <w:widowControl/>
              <w:jc w:val="left"/>
              <w:rPr>
                <w:rFonts w:ascii="宋体" w:hAnsi="宋体" w:cs="宋体"/>
                <w:color w:val="auto"/>
                <w:szCs w:val="21"/>
                <w:highlight w:val="none"/>
              </w:rPr>
            </w:pPr>
            <w:r>
              <w:rPr>
                <w:rFonts w:hint="eastAsia" w:ascii="宋体" w:hAnsi="宋体" w:cs="宋体"/>
                <w:color w:val="auto"/>
                <w:szCs w:val="21"/>
                <w:highlight w:val="none"/>
              </w:rPr>
              <w:t>维修时效</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3315518F">
            <w:pPr>
              <w:widowControl/>
              <w:jc w:val="left"/>
              <w:rPr>
                <w:rFonts w:ascii="宋体" w:hAnsi="宋体" w:cs="宋体"/>
                <w:color w:val="auto"/>
                <w:szCs w:val="21"/>
                <w:highlight w:val="none"/>
              </w:rPr>
            </w:pPr>
            <w:r>
              <w:rPr>
                <w:rFonts w:hint="eastAsia" w:ascii="宋体" w:hAnsi="宋体" w:cs="宋体"/>
                <w:color w:val="auto"/>
                <w:szCs w:val="21"/>
                <w:highlight w:val="none"/>
              </w:rPr>
              <w:t>上门检测后需现场向最终用户说明故障情况并告知解决方案、如需调拨维修配件，需要告知最终用户配件更换时效并征得客户同意</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4678D69C">
            <w:pPr>
              <w:widowControl/>
              <w:jc w:val="left"/>
              <w:rPr>
                <w:rFonts w:ascii="宋体" w:hAnsi="宋体" w:cs="宋体"/>
                <w:color w:val="auto"/>
                <w:szCs w:val="21"/>
                <w:highlight w:val="none"/>
              </w:rPr>
            </w:pPr>
            <w:r>
              <w:rPr>
                <w:rFonts w:hint="eastAsia" w:ascii="宋体" w:hAnsi="宋体" w:cs="宋体"/>
                <w:color w:val="auto"/>
                <w:szCs w:val="21"/>
                <w:highlight w:val="none"/>
              </w:rPr>
              <w:t>在承诺的时间内完成服务</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62167AAC">
            <w:pPr>
              <w:widowControl/>
              <w:jc w:val="left"/>
              <w:rPr>
                <w:rFonts w:ascii="宋体" w:hAnsi="宋体" w:cs="宋体"/>
                <w:color w:val="auto"/>
                <w:szCs w:val="21"/>
                <w:highlight w:val="none"/>
              </w:rPr>
            </w:pPr>
            <w:r>
              <w:rPr>
                <w:rFonts w:hint="eastAsia" w:ascii="宋体" w:hAnsi="宋体" w:cs="宋体"/>
                <w:color w:val="auto"/>
                <w:szCs w:val="21"/>
                <w:highlight w:val="none"/>
              </w:rPr>
              <w:t>400元/次+（N-1）*200元/台/次</w:t>
            </w:r>
          </w:p>
        </w:tc>
      </w:tr>
      <w:tr w14:paraId="7E5D7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5B60DB12">
            <w:pPr>
              <w:widowControl/>
              <w:jc w:val="center"/>
              <w:rPr>
                <w:rFonts w:ascii="宋体" w:hAnsi="宋体" w:cs="宋体"/>
                <w:color w:val="auto"/>
                <w:szCs w:val="21"/>
                <w:highlight w:val="none"/>
              </w:rPr>
            </w:pPr>
            <w:r>
              <w:rPr>
                <w:rFonts w:hint="eastAsia" w:ascii="宋体" w:hAnsi="宋体" w:cs="宋体"/>
                <w:color w:val="auto"/>
                <w:szCs w:val="21"/>
                <w:highlight w:val="none"/>
              </w:rPr>
              <w:t>5</w:t>
            </w:r>
          </w:p>
        </w:tc>
        <w:tc>
          <w:tcPr>
            <w:tcW w:w="719" w:type="dxa"/>
            <w:vMerge w:val="continue"/>
            <w:tcBorders>
              <w:top w:val="nil"/>
              <w:left w:val="single" w:color="auto" w:sz="4" w:space="0"/>
              <w:bottom w:val="single" w:color="auto" w:sz="4" w:space="0"/>
              <w:right w:val="single" w:color="auto" w:sz="4" w:space="0"/>
            </w:tcBorders>
            <w:shd w:val="clear" w:color="auto" w:fill="auto"/>
          </w:tcPr>
          <w:p w14:paraId="25730E8B">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0D25A22F">
            <w:pPr>
              <w:rPr>
                <w:color w:val="auto"/>
                <w:sz w:val="20"/>
                <w:szCs w:val="20"/>
                <w:highlight w:val="none"/>
              </w:rPr>
            </w:pPr>
          </w:p>
        </w:tc>
        <w:tc>
          <w:tcPr>
            <w:tcW w:w="1559" w:type="dxa"/>
            <w:vMerge w:val="continue"/>
            <w:tcBorders>
              <w:top w:val="nil"/>
              <w:left w:val="single" w:color="auto" w:sz="4" w:space="0"/>
              <w:bottom w:val="single" w:color="auto" w:sz="4" w:space="0"/>
              <w:right w:val="single" w:color="auto" w:sz="4" w:space="0"/>
            </w:tcBorders>
            <w:shd w:val="clear" w:color="auto" w:fill="auto"/>
          </w:tcPr>
          <w:p w14:paraId="48AA0EE4">
            <w:pPr>
              <w:rPr>
                <w:color w:val="auto"/>
                <w:sz w:val="20"/>
                <w:szCs w:val="20"/>
                <w:highlight w:val="none"/>
              </w:rPr>
            </w:pP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6380330C">
            <w:pPr>
              <w:widowControl/>
              <w:jc w:val="left"/>
              <w:rPr>
                <w:rFonts w:ascii="宋体" w:hAnsi="宋体" w:cs="宋体"/>
                <w:color w:val="auto"/>
                <w:szCs w:val="21"/>
                <w:highlight w:val="none"/>
              </w:rPr>
            </w:pPr>
            <w:r>
              <w:rPr>
                <w:rFonts w:hint="eastAsia" w:ascii="宋体" w:hAnsi="宋体" w:cs="宋体"/>
                <w:color w:val="auto"/>
                <w:szCs w:val="21"/>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67E712C3">
            <w:pPr>
              <w:widowControl/>
              <w:jc w:val="left"/>
              <w:rPr>
                <w:rFonts w:ascii="宋体" w:hAnsi="宋体" w:cs="宋体"/>
                <w:color w:val="auto"/>
                <w:szCs w:val="21"/>
                <w:highlight w:val="none"/>
              </w:rPr>
            </w:pPr>
            <w:r>
              <w:rPr>
                <w:rFonts w:hint="eastAsia" w:ascii="宋体" w:hAnsi="宋体" w:cs="宋体"/>
                <w:color w:val="auto"/>
                <w:szCs w:val="21"/>
                <w:highlight w:val="none"/>
              </w:rPr>
              <w:t>向客户说明情况，告知客户提供备用机和退换机的解决方案，同时告知客户服务时效，并在承诺的时间内完成相应的服务内容。</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444CB4D9">
            <w:pPr>
              <w:widowControl/>
              <w:jc w:val="left"/>
              <w:rPr>
                <w:rFonts w:ascii="宋体" w:hAnsi="宋体" w:cs="宋体"/>
                <w:color w:val="auto"/>
                <w:szCs w:val="21"/>
                <w:highlight w:val="none"/>
              </w:rPr>
            </w:pPr>
            <w:r>
              <w:rPr>
                <w:rFonts w:hint="eastAsia" w:ascii="宋体" w:hAnsi="宋体" w:cs="宋体"/>
                <w:color w:val="auto"/>
                <w:szCs w:val="21"/>
                <w:highlight w:val="none"/>
              </w:rPr>
              <w:t>400元/次+（N-1）*200元/台/次</w:t>
            </w:r>
          </w:p>
        </w:tc>
      </w:tr>
      <w:tr w14:paraId="7CC52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581D32CE">
            <w:pPr>
              <w:widowControl/>
              <w:jc w:val="center"/>
              <w:rPr>
                <w:rFonts w:ascii="宋体" w:hAnsi="宋体" w:cs="宋体"/>
                <w:color w:val="auto"/>
                <w:szCs w:val="21"/>
                <w:highlight w:val="none"/>
              </w:rPr>
            </w:pPr>
            <w:r>
              <w:rPr>
                <w:rFonts w:hint="eastAsia" w:ascii="宋体" w:hAnsi="宋体" w:cs="宋体"/>
                <w:color w:val="auto"/>
                <w:szCs w:val="21"/>
                <w:highlight w:val="none"/>
              </w:rPr>
              <w:t>6</w:t>
            </w:r>
          </w:p>
        </w:tc>
        <w:tc>
          <w:tcPr>
            <w:tcW w:w="719" w:type="dxa"/>
            <w:vMerge w:val="continue"/>
            <w:tcBorders>
              <w:top w:val="nil"/>
              <w:left w:val="single" w:color="auto" w:sz="4" w:space="0"/>
              <w:bottom w:val="single" w:color="auto" w:sz="4" w:space="0"/>
              <w:right w:val="single" w:color="auto" w:sz="4" w:space="0"/>
            </w:tcBorders>
            <w:shd w:val="clear" w:color="auto" w:fill="auto"/>
          </w:tcPr>
          <w:p w14:paraId="3B003E46">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1B5CA79E">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6B5CB0EA">
            <w:pPr>
              <w:widowControl/>
              <w:jc w:val="left"/>
              <w:rPr>
                <w:rFonts w:ascii="宋体" w:hAnsi="宋体" w:cs="宋体"/>
                <w:color w:val="auto"/>
                <w:szCs w:val="21"/>
                <w:highlight w:val="none"/>
              </w:rPr>
            </w:pPr>
            <w:r>
              <w:rPr>
                <w:rFonts w:hint="eastAsia" w:ascii="宋体" w:hAnsi="宋体" w:cs="宋体"/>
                <w:color w:val="auto"/>
                <w:szCs w:val="21"/>
                <w:highlight w:val="none"/>
              </w:rPr>
              <w:t>备用机提供时效</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452BDA21">
            <w:pPr>
              <w:widowControl/>
              <w:jc w:val="left"/>
              <w:rPr>
                <w:rFonts w:ascii="宋体" w:hAnsi="宋体" w:cs="宋体"/>
                <w:color w:val="auto"/>
                <w:szCs w:val="21"/>
                <w:highlight w:val="none"/>
              </w:rPr>
            </w:pPr>
            <w:r>
              <w:rPr>
                <w:rFonts w:hint="eastAsia" w:ascii="宋体" w:hAnsi="宋体" w:cs="宋体"/>
                <w:color w:val="auto"/>
                <w:szCs w:val="21"/>
                <w:highlight w:val="none"/>
              </w:rPr>
              <w:t>服务商自行提供备用机，按与客户约定时间完成服务</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5F762D4D">
            <w:pPr>
              <w:widowControl/>
              <w:jc w:val="left"/>
              <w:rPr>
                <w:rFonts w:ascii="宋体" w:hAnsi="宋体" w:cs="宋体"/>
                <w:color w:val="auto"/>
                <w:szCs w:val="21"/>
                <w:highlight w:val="none"/>
              </w:rPr>
            </w:pPr>
            <w:r>
              <w:rPr>
                <w:rFonts w:hint="eastAsia" w:ascii="宋体" w:hAnsi="宋体" w:cs="宋体"/>
                <w:color w:val="auto"/>
                <w:szCs w:val="21"/>
                <w:highlight w:val="none"/>
              </w:rPr>
              <w:t>客户确认使用备用机后在1个工作日内提供备机</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00A14931">
            <w:pPr>
              <w:widowControl/>
              <w:jc w:val="left"/>
              <w:rPr>
                <w:rFonts w:ascii="宋体" w:hAnsi="宋体" w:cs="宋体"/>
                <w:color w:val="auto"/>
                <w:szCs w:val="21"/>
                <w:highlight w:val="none"/>
              </w:rPr>
            </w:pPr>
            <w:r>
              <w:rPr>
                <w:rFonts w:hint="eastAsia" w:ascii="宋体" w:hAnsi="宋体" w:cs="宋体"/>
                <w:color w:val="auto"/>
                <w:szCs w:val="21"/>
                <w:highlight w:val="none"/>
              </w:rPr>
              <w:t>400元/次+（N-1）*200元/台/次</w:t>
            </w:r>
          </w:p>
        </w:tc>
      </w:tr>
      <w:tr w14:paraId="368F9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72C5FC30">
            <w:pPr>
              <w:widowControl/>
              <w:jc w:val="center"/>
              <w:rPr>
                <w:rFonts w:ascii="宋体" w:hAnsi="宋体" w:cs="宋体"/>
                <w:color w:val="auto"/>
                <w:szCs w:val="21"/>
                <w:highlight w:val="none"/>
              </w:rPr>
            </w:pPr>
            <w:r>
              <w:rPr>
                <w:rFonts w:hint="eastAsia" w:ascii="宋体" w:hAnsi="宋体" w:cs="宋体"/>
                <w:color w:val="auto"/>
                <w:szCs w:val="21"/>
                <w:highlight w:val="none"/>
              </w:rPr>
              <w:t>7</w:t>
            </w:r>
          </w:p>
        </w:tc>
        <w:tc>
          <w:tcPr>
            <w:tcW w:w="719" w:type="dxa"/>
            <w:vMerge w:val="continue"/>
            <w:tcBorders>
              <w:top w:val="nil"/>
              <w:left w:val="single" w:color="auto" w:sz="4" w:space="0"/>
              <w:bottom w:val="single" w:color="auto" w:sz="4" w:space="0"/>
              <w:right w:val="single" w:color="auto" w:sz="4" w:space="0"/>
            </w:tcBorders>
            <w:shd w:val="clear" w:color="auto" w:fill="auto"/>
          </w:tcPr>
          <w:p w14:paraId="2F234047">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7B88DC17">
            <w:pPr>
              <w:rPr>
                <w:color w:val="auto"/>
                <w:sz w:val="20"/>
                <w:szCs w:val="20"/>
                <w:highlight w:val="none"/>
              </w:rPr>
            </w:pPr>
          </w:p>
        </w:tc>
        <w:tc>
          <w:tcPr>
            <w:tcW w:w="1559" w:type="dxa"/>
            <w:vMerge w:val="restart"/>
            <w:tcBorders>
              <w:top w:val="nil"/>
              <w:left w:val="single" w:color="auto" w:sz="4" w:space="0"/>
              <w:bottom w:val="single" w:color="auto" w:sz="4" w:space="0"/>
              <w:right w:val="single" w:color="auto" w:sz="4" w:space="0"/>
            </w:tcBorders>
            <w:shd w:val="clear" w:color="auto" w:fill="auto"/>
          </w:tcPr>
          <w:p w14:paraId="55512118">
            <w:pPr>
              <w:widowControl/>
              <w:jc w:val="left"/>
              <w:rPr>
                <w:rFonts w:ascii="宋体" w:hAnsi="宋体" w:cs="宋体"/>
                <w:color w:val="auto"/>
                <w:szCs w:val="21"/>
                <w:highlight w:val="none"/>
              </w:rPr>
            </w:pPr>
            <w:r>
              <w:rPr>
                <w:rFonts w:hint="eastAsia" w:ascii="宋体" w:hAnsi="宋体" w:cs="宋体"/>
                <w:color w:val="auto"/>
                <w:szCs w:val="21"/>
                <w:highlight w:val="none"/>
              </w:rPr>
              <w:t>换机服务时效</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655D0CB3">
            <w:pPr>
              <w:widowControl/>
              <w:jc w:val="left"/>
              <w:rPr>
                <w:rFonts w:ascii="宋体" w:hAnsi="宋体" w:cs="宋体"/>
                <w:color w:val="auto"/>
                <w:szCs w:val="21"/>
                <w:highlight w:val="none"/>
              </w:rPr>
            </w:pPr>
            <w:r>
              <w:rPr>
                <w:rFonts w:hint="eastAsia" w:ascii="宋体" w:hAnsi="宋体" w:cs="宋体"/>
                <w:color w:val="auto"/>
                <w:szCs w:val="21"/>
                <w:highlight w:val="none"/>
              </w:rPr>
              <w:t>确认换机后，在5个工作日内完成换机，如果超出5个工作日必须征得最终用户的同意，并在承诺的时间内完成服务</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170713D9">
            <w:pPr>
              <w:widowControl/>
              <w:jc w:val="left"/>
              <w:rPr>
                <w:rFonts w:ascii="宋体" w:hAnsi="宋体" w:cs="宋体"/>
                <w:color w:val="auto"/>
                <w:szCs w:val="21"/>
                <w:highlight w:val="none"/>
              </w:rPr>
            </w:pPr>
            <w:r>
              <w:rPr>
                <w:rFonts w:hint="eastAsia" w:ascii="宋体" w:hAnsi="宋体" w:cs="宋体"/>
                <w:color w:val="auto"/>
                <w:szCs w:val="21"/>
                <w:highlight w:val="none"/>
              </w:rPr>
              <w:t>在承诺的时间内完成换机。</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3B442692">
            <w:pPr>
              <w:widowControl/>
              <w:jc w:val="left"/>
              <w:rPr>
                <w:rFonts w:ascii="宋体" w:hAnsi="宋体" w:cs="宋体"/>
                <w:color w:val="auto"/>
                <w:szCs w:val="21"/>
                <w:highlight w:val="none"/>
              </w:rPr>
            </w:pPr>
            <w:r>
              <w:rPr>
                <w:rFonts w:hint="eastAsia" w:ascii="宋体" w:hAnsi="宋体" w:cs="宋体"/>
                <w:color w:val="auto"/>
                <w:szCs w:val="21"/>
                <w:highlight w:val="none"/>
              </w:rPr>
              <w:t>400元/次+（N-1）*200元/台/次</w:t>
            </w:r>
          </w:p>
        </w:tc>
      </w:tr>
      <w:tr w14:paraId="4C91E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5C0EC9ED">
            <w:pPr>
              <w:widowControl/>
              <w:jc w:val="center"/>
              <w:rPr>
                <w:rFonts w:ascii="宋体" w:hAnsi="宋体" w:cs="宋体"/>
                <w:color w:val="auto"/>
                <w:szCs w:val="21"/>
                <w:highlight w:val="none"/>
              </w:rPr>
            </w:pPr>
            <w:r>
              <w:rPr>
                <w:rFonts w:hint="eastAsia" w:ascii="宋体" w:hAnsi="宋体" w:cs="宋体"/>
                <w:color w:val="auto"/>
                <w:szCs w:val="21"/>
                <w:highlight w:val="none"/>
              </w:rPr>
              <w:t>8</w:t>
            </w:r>
          </w:p>
        </w:tc>
        <w:tc>
          <w:tcPr>
            <w:tcW w:w="719" w:type="dxa"/>
            <w:vMerge w:val="continue"/>
            <w:tcBorders>
              <w:top w:val="nil"/>
              <w:left w:val="single" w:color="auto" w:sz="4" w:space="0"/>
              <w:bottom w:val="single" w:color="auto" w:sz="4" w:space="0"/>
              <w:right w:val="single" w:color="auto" w:sz="4" w:space="0"/>
            </w:tcBorders>
            <w:shd w:val="clear" w:color="auto" w:fill="auto"/>
          </w:tcPr>
          <w:p w14:paraId="0D83184C">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0E8F41B6">
            <w:pPr>
              <w:rPr>
                <w:color w:val="auto"/>
                <w:sz w:val="20"/>
                <w:szCs w:val="20"/>
                <w:highlight w:val="none"/>
              </w:rPr>
            </w:pPr>
          </w:p>
        </w:tc>
        <w:tc>
          <w:tcPr>
            <w:tcW w:w="1559" w:type="dxa"/>
            <w:vMerge w:val="continue"/>
            <w:tcBorders>
              <w:top w:val="nil"/>
              <w:left w:val="single" w:color="auto" w:sz="4" w:space="0"/>
              <w:bottom w:val="single" w:color="auto" w:sz="4" w:space="0"/>
              <w:right w:val="single" w:color="auto" w:sz="4" w:space="0"/>
            </w:tcBorders>
            <w:shd w:val="clear" w:color="auto" w:fill="auto"/>
          </w:tcPr>
          <w:p w14:paraId="68AC384C">
            <w:pPr>
              <w:rPr>
                <w:color w:val="auto"/>
                <w:sz w:val="20"/>
                <w:szCs w:val="20"/>
                <w:highlight w:val="none"/>
              </w:rPr>
            </w:pP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6AC815D9">
            <w:pPr>
              <w:widowControl/>
              <w:jc w:val="left"/>
              <w:rPr>
                <w:rFonts w:ascii="宋体" w:hAnsi="宋体" w:cs="宋体"/>
                <w:color w:val="auto"/>
                <w:szCs w:val="21"/>
                <w:highlight w:val="none"/>
              </w:rPr>
            </w:pPr>
            <w:r>
              <w:rPr>
                <w:rFonts w:hint="eastAsia" w:ascii="宋体" w:hAnsi="宋体" w:cs="宋体"/>
                <w:color w:val="auto"/>
                <w:szCs w:val="21"/>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4565492E">
            <w:pPr>
              <w:widowControl/>
              <w:jc w:val="left"/>
              <w:rPr>
                <w:rFonts w:ascii="宋体" w:hAnsi="宋体" w:cs="宋体"/>
                <w:color w:val="auto"/>
                <w:szCs w:val="21"/>
                <w:highlight w:val="none"/>
              </w:rPr>
            </w:pPr>
            <w:r>
              <w:rPr>
                <w:rFonts w:hint="eastAsia" w:ascii="宋体" w:hAnsi="宋体" w:cs="宋体"/>
                <w:color w:val="auto"/>
                <w:szCs w:val="21"/>
                <w:highlight w:val="none"/>
              </w:rPr>
              <w:t>同意并给予客户换机。</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37455469">
            <w:pPr>
              <w:widowControl/>
              <w:jc w:val="left"/>
              <w:rPr>
                <w:rFonts w:ascii="宋体" w:hAnsi="宋体" w:cs="宋体"/>
                <w:color w:val="auto"/>
                <w:szCs w:val="21"/>
                <w:highlight w:val="none"/>
              </w:rPr>
            </w:pPr>
            <w:r>
              <w:rPr>
                <w:rFonts w:hint="eastAsia" w:ascii="宋体" w:hAnsi="宋体" w:cs="宋体"/>
                <w:color w:val="auto"/>
                <w:szCs w:val="21"/>
                <w:highlight w:val="none"/>
              </w:rPr>
              <w:t>500元/台/次；同时在质保金中扣除换新机所需货款，由万翔直接给客户换机</w:t>
            </w:r>
          </w:p>
        </w:tc>
      </w:tr>
      <w:tr w14:paraId="561AD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4DAC9439">
            <w:pPr>
              <w:widowControl/>
              <w:jc w:val="center"/>
              <w:rPr>
                <w:rFonts w:ascii="宋体" w:hAnsi="宋体" w:cs="宋体"/>
                <w:color w:val="auto"/>
                <w:szCs w:val="21"/>
                <w:highlight w:val="none"/>
              </w:rPr>
            </w:pPr>
            <w:r>
              <w:rPr>
                <w:rFonts w:hint="eastAsia" w:ascii="宋体" w:hAnsi="宋体" w:cs="宋体"/>
                <w:color w:val="auto"/>
                <w:szCs w:val="21"/>
                <w:highlight w:val="none"/>
              </w:rPr>
              <w:t>9</w:t>
            </w:r>
          </w:p>
        </w:tc>
        <w:tc>
          <w:tcPr>
            <w:tcW w:w="719" w:type="dxa"/>
            <w:vMerge w:val="continue"/>
            <w:tcBorders>
              <w:top w:val="nil"/>
              <w:left w:val="single" w:color="auto" w:sz="4" w:space="0"/>
              <w:bottom w:val="single" w:color="auto" w:sz="4" w:space="0"/>
              <w:right w:val="single" w:color="auto" w:sz="4" w:space="0"/>
            </w:tcBorders>
            <w:shd w:val="clear" w:color="auto" w:fill="auto"/>
          </w:tcPr>
          <w:p w14:paraId="7D0F3A54">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776972F6">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5596F28A">
            <w:pPr>
              <w:widowControl/>
              <w:jc w:val="left"/>
              <w:rPr>
                <w:rFonts w:ascii="宋体" w:hAnsi="宋体" w:cs="宋体"/>
                <w:color w:val="auto"/>
                <w:szCs w:val="21"/>
                <w:highlight w:val="none"/>
              </w:rPr>
            </w:pPr>
            <w:r>
              <w:rPr>
                <w:rFonts w:hint="eastAsia" w:ascii="宋体" w:hAnsi="宋体" w:cs="宋体"/>
                <w:color w:val="auto"/>
                <w:szCs w:val="21"/>
                <w:highlight w:val="none"/>
              </w:rPr>
              <w:t>验收报告/辅材发票提供时效</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562197E1">
            <w:pPr>
              <w:widowControl/>
              <w:jc w:val="left"/>
              <w:rPr>
                <w:rFonts w:ascii="宋体" w:hAnsi="宋体" w:cs="宋体"/>
                <w:color w:val="auto"/>
                <w:szCs w:val="21"/>
                <w:highlight w:val="none"/>
              </w:rPr>
            </w:pPr>
            <w:r>
              <w:rPr>
                <w:rFonts w:hint="eastAsia" w:ascii="宋体" w:hAnsi="宋体" w:cs="宋体"/>
                <w:color w:val="auto"/>
                <w:szCs w:val="21"/>
                <w:highlight w:val="none"/>
              </w:rPr>
              <w:t>收到万翔客服专员通知后，2个工作日内提供验收报告/辅材发票给最终用户。</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6E4B3498">
            <w:pPr>
              <w:widowControl/>
              <w:jc w:val="left"/>
              <w:rPr>
                <w:rFonts w:ascii="宋体" w:hAnsi="宋体" w:cs="宋体"/>
                <w:color w:val="auto"/>
                <w:szCs w:val="21"/>
                <w:highlight w:val="none"/>
              </w:rPr>
            </w:pPr>
            <w:r>
              <w:rPr>
                <w:rFonts w:hint="eastAsia" w:ascii="宋体" w:hAnsi="宋体" w:cs="宋体"/>
                <w:color w:val="auto"/>
                <w:szCs w:val="21"/>
                <w:highlight w:val="none"/>
              </w:rPr>
              <w:t>万翔客服专员报单后2个工作日内</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4807A84C">
            <w:pPr>
              <w:widowControl/>
              <w:jc w:val="left"/>
              <w:rPr>
                <w:rFonts w:ascii="宋体" w:hAnsi="宋体" w:cs="宋体"/>
                <w:color w:val="auto"/>
                <w:szCs w:val="21"/>
                <w:highlight w:val="none"/>
              </w:rPr>
            </w:pPr>
            <w:r>
              <w:rPr>
                <w:rFonts w:hint="eastAsia" w:ascii="宋体" w:hAnsi="宋体" w:cs="宋体"/>
                <w:color w:val="auto"/>
                <w:szCs w:val="21"/>
                <w:highlight w:val="none"/>
              </w:rPr>
              <w:t>400元/单/次，每逾期1个工作日按100元/单/工作日的标准增加处罚；</w:t>
            </w:r>
          </w:p>
        </w:tc>
      </w:tr>
      <w:tr w14:paraId="47012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2"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204819C3">
            <w:pPr>
              <w:widowControl/>
              <w:jc w:val="center"/>
              <w:rPr>
                <w:rFonts w:ascii="宋体" w:hAnsi="宋体" w:cs="宋体"/>
                <w:color w:val="auto"/>
                <w:szCs w:val="21"/>
                <w:highlight w:val="none"/>
              </w:rPr>
            </w:pPr>
            <w:r>
              <w:rPr>
                <w:rFonts w:hint="eastAsia" w:ascii="宋体" w:hAnsi="宋体" w:cs="宋体"/>
                <w:color w:val="auto"/>
                <w:szCs w:val="21"/>
                <w:highlight w:val="none"/>
              </w:rPr>
              <w:t>10</w:t>
            </w:r>
          </w:p>
        </w:tc>
        <w:tc>
          <w:tcPr>
            <w:tcW w:w="719" w:type="dxa"/>
            <w:vMerge w:val="restart"/>
            <w:tcBorders>
              <w:top w:val="nil"/>
              <w:left w:val="single" w:color="auto" w:sz="4" w:space="0"/>
              <w:bottom w:val="single" w:color="auto" w:sz="4" w:space="0"/>
              <w:right w:val="single" w:color="auto" w:sz="4" w:space="0"/>
            </w:tcBorders>
            <w:shd w:val="clear" w:color="auto" w:fill="auto"/>
            <w:noWrap/>
          </w:tcPr>
          <w:p w14:paraId="387C2632">
            <w:pPr>
              <w:widowControl/>
              <w:jc w:val="center"/>
              <w:rPr>
                <w:rFonts w:ascii="宋体" w:hAnsi="宋体" w:cs="宋体"/>
                <w:color w:val="auto"/>
                <w:szCs w:val="21"/>
                <w:highlight w:val="none"/>
              </w:rPr>
            </w:pPr>
            <w:r>
              <w:rPr>
                <w:rFonts w:hint="eastAsia" w:ascii="宋体" w:hAnsi="宋体" w:cs="宋体"/>
                <w:color w:val="auto"/>
                <w:szCs w:val="21"/>
                <w:highlight w:val="none"/>
              </w:rPr>
              <w:t>服务规范</w:t>
            </w:r>
          </w:p>
        </w:tc>
        <w:tc>
          <w:tcPr>
            <w:tcW w:w="2448" w:type="dxa"/>
            <w:vMerge w:val="restart"/>
            <w:tcBorders>
              <w:top w:val="nil"/>
              <w:left w:val="single" w:color="auto" w:sz="4" w:space="0"/>
              <w:bottom w:val="single" w:color="auto" w:sz="4" w:space="0"/>
              <w:right w:val="single" w:color="auto" w:sz="4" w:space="0"/>
            </w:tcBorders>
            <w:shd w:val="clear" w:color="auto" w:fill="auto"/>
          </w:tcPr>
          <w:p w14:paraId="4C121AF5">
            <w:pPr>
              <w:widowControl/>
              <w:jc w:val="left"/>
              <w:rPr>
                <w:rFonts w:ascii="宋体" w:hAnsi="宋体" w:cs="宋体"/>
                <w:color w:val="auto"/>
                <w:szCs w:val="21"/>
                <w:highlight w:val="none"/>
              </w:rPr>
            </w:pPr>
            <w:r>
              <w:rPr>
                <w:rFonts w:hint="eastAsia" w:ascii="宋体" w:hAnsi="宋体" w:cs="宋体"/>
                <w:color w:val="auto"/>
                <w:szCs w:val="21"/>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70A1895C">
            <w:pPr>
              <w:widowControl/>
              <w:jc w:val="left"/>
              <w:rPr>
                <w:rFonts w:ascii="宋体" w:hAnsi="宋体" w:cs="宋体"/>
                <w:color w:val="auto"/>
                <w:szCs w:val="21"/>
                <w:highlight w:val="none"/>
              </w:rPr>
            </w:pPr>
            <w:r>
              <w:rPr>
                <w:rFonts w:hint="eastAsia" w:ascii="宋体" w:hAnsi="宋体" w:cs="宋体"/>
                <w:color w:val="auto"/>
                <w:szCs w:val="21"/>
                <w:highlight w:val="none"/>
              </w:rPr>
              <w:t>服务前的服务规范</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4B9C103E">
            <w:pPr>
              <w:widowControl/>
              <w:jc w:val="left"/>
              <w:rPr>
                <w:rFonts w:ascii="宋体" w:hAnsi="宋体" w:cs="宋体"/>
                <w:color w:val="auto"/>
                <w:szCs w:val="21"/>
                <w:highlight w:val="none"/>
              </w:rPr>
            </w:pPr>
            <w:r>
              <w:rPr>
                <w:rFonts w:hint="eastAsia" w:ascii="宋体" w:hAnsi="宋体" w:cs="宋体"/>
                <w:color w:val="auto"/>
                <w:szCs w:val="21"/>
                <w:highlight w:val="none"/>
              </w:rPr>
              <w:t>1）上门服务人员应着品牌工装；</w:t>
            </w:r>
          </w:p>
          <w:p w14:paraId="5086BD31">
            <w:pPr>
              <w:widowControl/>
              <w:jc w:val="left"/>
              <w:rPr>
                <w:rFonts w:ascii="宋体" w:hAnsi="宋体" w:cs="宋体"/>
                <w:color w:val="auto"/>
                <w:szCs w:val="21"/>
                <w:highlight w:val="none"/>
              </w:rPr>
            </w:pPr>
            <w:r>
              <w:rPr>
                <w:rFonts w:hint="eastAsia" w:ascii="宋体" w:hAnsi="宋体" w:cs="宋体"/>
                <w:color w:val="auto"/>
                <w:szCs w:val="21"/>
                <w:highlight w:val="none"/>
              </w:rPr>
              <w:t xml:space="preserve"> 2）安装/维修前应与最终用户核对机器型号、配置和台数；如维修需要向客户核实故障现象。</w:t>
            </w:r>
            <w:r>
              <w:rPr>
                <w:rFonts w:hint="eastAsia" w:ascii="宋体" w:hAnsi="宋体" w:cs="宋体"/>
                <w:color w:val="auto"/>
                <w:szCs w:val="21"/>
                <w:highlight w:val="none"/>
              </w:rPr>
              <w:br w:type="textWrapping"/>
            </w:r>
            <w:r>
              <w:rPr>
                <w:rFonts w:hint="eastAsia" w:ascii="宋体" w:hAnsi="宋体" w:cs="宋体"/>
                <w:color w:val="auto"/>
                <w:szCs w:val="21"/>
                <w:highlight w:val="none"/>
              </w:rPr>
              <w:t>3）安装前检查确认外包装完好再拆箱安装；如有异常须及时向最终用户反馈并报备给万翔客服专员后，再进行开箱验机；</w:t>
            </w:r>
            <w:r>
              <w:rPr>
                <w:rFonts w:hint="eastAsia" w:ascii="宋体" w:hAnsi="宋体" w:cs="宋体"/>
                <w:color w:val="auto"/>
                <w:szCs w:val="21"/>
                <w:highlight w:val="none"/>
              </w:rPr>
              <w:br w:type="textWrapping"/>
            </w:r>
            <w:r>
              <w:rPr>
                <w:rFonts w:hint="eastAsia" w:ascii="宋体" w:hAnsi="宋体" w:cs="宋体"/>
                <w:color w:val="auto"/>
                <w:szCs w:val="21"/>
                <w:highlight w:val="none"/>
              </w:rPr>
              <w:t>4）安装/维修前应检查最终用户的电源电压是否安全稳定，如有问题，应及时告知最终用户，协商整改；</w:t>
            </w:r>
            <w:r>
              <w:rPr>
                <w:rFonts w:hint="eastAsia" w:ascii="宋体" w:hAnsi="宋体" w:cs="宋体"/>
                <w:color w:val="auto"/>
                <w:szCs w:val="21"/>
                <w:highlight w:val="none"/>
              </w:rPr>
              <w:br w:type="textWrapping"/>
            </w:r>
            <w:r>
              <w:rPr>
                <w:rFonts w:hint="eastAsia" w:ascii="宋体" w:hAnsi="宋体" w:cs="宋体"/>
                <w:color w:val="auto"/>
                <w:szCs w:val="21"/>
                <w:highlight w:val="none"/>
              </w:rPr>
              <w:t>5）由于服务单位自身原因造成多人或多次联系客户、或上门服务时发现由于自身原因不能提供服务（如上门服务发现未带物料、上门安装空调发现未取孔）；</w:t>
            </w:r>
            <w:r>
              <w:rPr>
                <w:rFonts w:hint="eastAsia" w:ascii="宋体" w:hAnsi="宋体" w:cs="宋体"/>
                <w:color w:val="auto"/>
                <w:szCs w:val="21"/>
                <w:highlight w:val="none"/>
              </w:rPr>
              <w:br w:type="textWrapping"/>
            </w:r>
            <w:r>
              <w:rPr>
                <w:rFonts w:hint="eastAsia" w:ascii="宋体" w:hAnsi="宋体" w:cs="宋体"/>
                <w:color w:val="auto"/>
                <w:szCs w:val="21"/>
                <w:highlight w:val="none"/>
              </w:rPr>
              <w:t>6）上门安装/维修时发现由于环境复杂或安装/维修有难度，拒绝为客户提供服务。</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138DE522">
            <w:pPr>
              <w:widowControl/>
              <w:jc w:val="left"/>
              <w:rPr>
                <w:rFonts w:ascii="宋体" w:hAnsi="宋体" w:cs="宋体"/>
                <w:color w:val="auto"/>
                <w:szCs w:val="21"/>
                <w:highlight w:val="none"/>
              </w:rPr>
            </w:pPr>
            <w:r>
              <w:rPr>
                <w:rFonts w:hint="eastAsia" w:ascii="宋体" w:hAnsi="宋体" w:cs="宋体"/>
                <w:color w:val="auto"/>
                <w:szCs w:val="21"/>
                <w:highlight w:val="none"/>
              </w:rPr>
              <w:t>任一条，发现未按规范</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639B63AA">
            <w:pPr>
              <w:widowControl/>
              <w:jc w:val="left"/>
              <w:rPr>
                <w:rFonts w:ascii="宋体" w:hAnsi="宋体" w:cs="宋体"/>
                <w:color w:val="auto"/>
                <w:szCs w:val="21"/>
                <w:highlight w:val="none"/>
              </w:rPr>
            </w:pPr>
            <w:r>
              <w:rPr>
                <w:rFonts w:hint="eastAsia" w:ascii="宋体" w:hAnsi="宋体" w:cs="宋体"/>
                <w:color w:val="auto"/>
                <w:szCs w:val="21"/>
                <w:highlight w:val="none"/>
              </w:rPr>
              <w:t>400元/次</w:t>
            </w:r>
          </w:p>
        </w:tc>
      </w:tr>
      <w:tr w14:paraId="69B7A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53D151F8">
            <w:pPr>
              <w:widowControl/>
              <w:jc w:val="center"/>
              <w:rPr>
                <w:rFonts w:ascii="宋体" w:hAnsi="宋体" w:cs="宋体"/>
                <w:color w:val="auto"/>
                <w:szCs w:val="21"/>
                <w:highlight w:val="none"/>
              </w:rPr>
            </w:pPr>
            <w:r>
              <w:rPr>
                <w:rFonts w:hint="eastAsia" w:ascii="宋体" w:hAnsi="宋体" w:cs="宋体"/>
                <w:color w:val="auto"/>
                <w:szCs w:val="21"/>
                <w:highlight w:val="none"/>
              </w:rPr>
              <w:t>11</w:t>
            </w:r>
          </w:p>
        </w:tc>
        <w:tc>
          <w:tcPr>
            <w:tcW w:w="719" w:type="dxa"/>
            <w:vMerge w:val="continue"/>
            <w:tcBorders>
              <w:top w:val="nil"/>
              <w:left w:val="single" w:color="auto" w:sz="4" w:space="0"/>
              <w:bottom w:val="single" w:color="auto" w:sz="4" w:space="0"/>
              <w:right w:val="single" w:color="auto" w:sz="4" w:space="0"/>
            </w:tcBorders>
            <w:shd w:val="clear" w:color="auto" w:fill="auto"/>
            <w:noWrap/>
          </w:tcPr>
          <w:p w14:paraId="03F4884A">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3013D073">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23DFDD57">
            <w:pPr>
              <w:widowControl/>
              <w:jc w:val="left"/>
              <w:rPr>
                <w:rFonts w:ascii="宋体" w:hAnsi="宋体" w:cs="宋体"/>
                <w:color w:val="auto"/>
                <w:szCs w:val="21"/>
                <w:highlight w:val="none"/>
              </w:rPr>
            </w:pPr>
            <w:r>
              <w:rPr>
                <w:rFonts w:hint="eastAsia" w:ascii="宋体" w:hAnsi="宋体" w:cs="宋体"/>
                <w:color w:val="auto"/>
                <w:szCs w:val="21"/>
                <w:highlight w:val="none"/>
              </w:rPr>
              <w:t>服务中的服务规范</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7F68EFB4">
            <w:pPr>
              <w:widowControl/>
              <w:jc w:val="left"/>
              <w:rPr>
                <w:rFonts w:ascii="宋体" w:hAnsi="宋体" w:cs="宋体"/>
                <w:color w:val="auto"/>
                <w:szCs w:val="21"/>
                <w:highlight w:val="none"/>
              </w:rPr>
            </w:pPr>
            <w:r>
              <w:rPr>
                <w:rFonts w:hint="eastAsia" w:ascii="宋体" w:hAnsi="宋体" w:cs="宋体"/>
                <w:color w:val="auto"/>
                <w:szCs w:val="21"/>
                <w:highlight w:val="none"/>
              </w:rPr>
              <w:t>1）安装过程中发现外包装完好，开箱出现货物内损则第一时间给最终用户换机处理，并报备给万翔客服专员；</w:t>
            </w:r>
          </w:p>
          <w:p w14:paraId="22F2FD81">
            <w:pPr>
              <w:widowControl/>
              <w:jc w:val="left"/>
              <w:rPr>
                <w:rFonts w:ascii="宋体" w:hAnsi="宋体" w:cs="宋体"/>
                <w:color w:val="auto"/>
                <w:szCs w:val="21"/>
                <w:highlight w:val="none"/>
              </w:rPr>
            </w:pPr>
            <w:r>
              <w:rPr>
                <w:rFonts w:hint="eastAsia" w:ascii="宋体" w:hAnsi="宋体" w:cs="宋体"/>
                <w:color w:val="auto"/>
                <w:szCs w:val="21"/>
                <w:highlight w:val="none"/>
              </w:rPr>
              <w:t>2）检查每台机器的服务编号；</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3) 安装时如果发现设备异常，及时与客户进行沟通，待情况核实清楚后，再行安装； </w:t>
            </w:r>
            <w:r>
              <w:rPr>
                <w:rFonts w:hint="eastAsia" w:ascii="宋体" w:hAnsi="宋体" w:cs="宋体"/>
                <w:color w:val="auto"/>
                <w:szCs w:val="21"/>
                <w:highlight w:val="none"/>
              </w:rPr>
              <w:br w:type="textWrapping"/>
            </w:r>
            <w:r>
              <w:rPr>
                <w:rFonts w:hint="eastAsia" w:ascii="宋体" w:hAnsi="宋体" w:cs="宋体"/>
                <w:color w:val="auto"/>
                <w:szCs w:val="21"/>
                <w:highlight w:val="none"/>
              </w:rPr>
              <w:t>4）免费提供所有设备的安装调试（包括计算机操作系统及补丁等应用软件安装等服务），安装完成后要开机测试以确保设备能够正常使用；</w:t>
            </w:r>
            <w:r>
              <w:rPr>
                <w:rFonts w:hint="eastAsia" w:ascii="宋体" w:hAnsi="宋体" w:cs="宋体"/>
                <w:color w:val="auto"/>
                <w:szCs w:val="21"/>
                <w:highlight w:val="none"/>
              </w:rPr>
              <w:br w:type="textWrapping"/>
            </w:r>
            <w:r>
              <w:rPr>
                <w:rFonts w:hint="eastAsia" w:ascii="宋体" w:hAnsi="宋体" w:cs="宋体"/>
                <w:color w:val="auto"/>
                <w:szCs w:val="21"/>
                <w:highlight w:val="none"/>
              </w:rPr>
              <w:t>5）协助最终用户安装外设等常用设备。并根据最终用户需求进行设置。</w:t>
            </w:r>
          </w:p>
          <w:p w14:paraId="012A5FDB">
            <w:pPr>
              <w:widowControl/>
              <w:jc w:val="left"/>
              <w:rPr>
                <w:rFonts w:ascii="宋体" w:hAnsi="宋体" w:cs="宋体"/>
                <w:color w:val="auto"/>
                <w:szCs w:val="21"/>
                <w:highlight w:val="none"/>
              </w:rPr>
            </w:pPr>
            <w:r>
              <w:rPr>
                <w:rFonts w:hint="eastAsia" w:ascii="宋体" w:hAnsi="宋体" w:cs="宋体"/>
                <w:color w:val="auto"/>
                <w:szCs w:val="21"/>
                <w:highlight w:val="none"/>
              </w:rPr>
              <w:t>6）安装位置必须保证设备的正常使用，如安装位置与客户要求不符，需要提前与客户沟通并找到适合的解决方案；</w:t>
            </w:r>
          </w:p>
          <w:p w14:paraId="20BD0E0A">
            <w:pPr>
              <w:widowControl/>
              <w:jc w:val="left"/>
              <w:rPr>
                <w:rFonts w:ascii="宋体" w:hAnsi="宋体" w:cs="宋体"/>
                <w:color w:val="auto"/>
                <w:szCs w:val="21"/>
                <w:highlight w:val="none"/>
              </w:rPr>
            </w:pPr>
            <w:r>
              <w:rPr>
                <w:rFonts w:hint="eastAsia" w:ascii="宋体" w:hAnsi="宋体" w:cs="宋体"/>
                <w:color w:val="auto"/>
                <w:szCs w:val="21"/>
                <w:highlight w:val="none"/>
              </w:rPr>
              <w:t>7）安装务必保障美观，不能出现设备安装歪斜、影响美观或影响设备正常使用等情况；</w:t>
            </w:r>
            <w:r>
              <w:rPr>
                <w:rFonts w:hint="eastAsia" w:ascii="宋体" w:hAnsi="宋体" w:cs="宋体"/>
                <w:color w:val="auto"/>
                <w:szCs w:val="21"/>
                <w:highlight w:val="none"/>
              </w:rPr>
              <w:br w:type="textWrapping"/>
            </w:r>
            <w:r>
              <w:rPr>
                <w:rFonts w:hint="eastAsia" w:ascii="宋体" w:hAnsi="宋体" w:cs="宋体"/>
                <w:color w:val="auto"/>
                <w:szCs w:val="21"/>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6804BF90">
            <w:pPr>
              <w:widowControl/>
              <w:jc w:val="left"/>
              <w:rPr>
                <w:rFonts w:ascii="宋体" w:hAnsi="宋体" w:cs="宋体"/>
                <w:color w:val="auto"/>
                <w:szCs w:val="21"/>
                <w:highlight w:val="none"/>
              </w:rPr>
            </w:pPr>
            <w:r>
              <w:rPr>
                <w:rFonts w:hint="eastAsia" w:ascii="宋体" w:hAnsi="宋体" w:cs="宋体"/>
                <w:color w:val="auto"/>
                <w:szCs w:val="21"/>
                <w:highlight w:val="none"/>
              </w:rPr>
              <w:t>任一条，发现未按规范</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1B1DD302">
            <w:pPr>
              <w:widowControl/>
              <w:jc w:val="left"/>
              <w:rPr>
                <w:rFonts w:ascii="宋体" w:hAnsi="宋体" w:cs="宋体"/>
                <w:color w:val="auto"/>
                <w:szCs w:val="21"/>
                <w:highlight w:val="none"/>
              </w:rPr>
            </w:pPr>
            <w:r>
              <w:rPr>
                <w:rFonts w:hint="eastAsia" w:ascii="宋体" w:hAnsi="宋体" w:cs="宋体"/>
                <w:color w:val="auto"/>
                <w:szCs w:val="21"/>
                <w:highlight w:val="none"/>
              </w:rPr>
              <w:t>400元/次</w:t>
            </w:r>
          </w:p>
        </w:tc>
      </w:tr>
      <w:tr w14:paraId="746D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3"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227FC568">
            <w:pPr>
              <w:widowControl/>
              <w:jc w:val="center"/>
              <w:rPr>
                <w:rFonts w:ascii="宋体" w:hAnsi="宋体" w:cs="宋体"/>
                <w:color w:val="auto"/>
                <w:szCs w:val="21"/>
                <w:highlight w:val="none"/>
              </w:rPr>
            </w:pPr>
            <w:r>
              <w:rPr>
                <w:rFonts w:hint="eastAsia" w:ascii="宋体" w:hAnsi="宋体" w:cs="宋体"/>
                <w:color w:val="auto"/>
                <w:szCs w:val="21"/>
                <w:highlight w:val="none"/>
              </w:rPr>
              <w:t>12</w:t>
            </w:r>
          </w:p>
        </w:tc>
        <w:tc>
          <w:tcPr>
            <w:tcW w:w="719" w:type="dxa"/>
            <w:vMerge w:val="continue"/>
            <w:tcBorders>
              <w:top w:val="nil"/>
              <w:left w:val="single" w:color="auto" w:sz="4" w:space="0"/>
              <w:bottom w:val="single" w:color="auto" w:sz="4" w:space="0"/>
              <w:right w:val="single" w:color="auto" w:sz="4" w:space="0"/>
            </w:tcBorders>
            <w:shd w:val="clear" w:color="auto" w:fill="auto"/>
            <w:noWrap/>
          </w:tcPr>
          <w:p w14:paraId="2AAF2BF3">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3C74B093">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6D77BA01">
            <w:pPr>
              <w:widowControl/>
              <w:jc w:val="left"/>
              <w:rPr>
                <w:rFonts w:ascii="宋体" w:hAnsi="宋体" w:cs="宋体"/>
                <w:color w:val="auto"/>
                <w:szCs w:val="21"/>
                <w:highlight w:val="none"/>
              </w:rPr>
            </w:pPr>
            <w:r>
              <w:rPr>
                <w:rFonts w:hint="eastAsia" w:ascii="宋体" w:hAnsi="宋体" w:cs="宋体"/>
                <w:color w:val="auto"/>
                <w:szCs w:val="21"/>
                <w:highlight w:val="none"/>
              </w:rPr>
              <w:t>服务后的服务规范</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41378E1A">
            <w:pPr>
              <w:widowControl/>
              <w:jc w:val="left"/>
              <w:rPr>
                <w:rFonts w:ascii="宋体" w:hAnsi="宋体" w:cs="宋体"/>
                <w:color w:val="auto"/>
                <w:szCs w:val="21"/>
                <w:highlight w:val="none"/>
              </w:rPr>
            </w:pPr>
            <w:r>
              <w:rPr>
                <w:rFonts w:hint="eastAsia" w:ascii="宋体" w:hAnsi="宋体" w:cs="宋体"/>
                <w:color w:val="auto"/>
                <w:szCs w:val="21"/>
                <w:highlight w:val="none"/>
              </w:rPr>
              <w:t>1)安装完毕，应和最终用户一起确认产品的正常运行。</w:t>
            </w:r>
          </w:p>
          <w:p w14:paraId="298CD716">
            <w:pPr>
              <w:widowControl/>
              <w:jc w:val="left"/>
              <w:rPr>
                <w:rFonts w:ascii="宋体" w:hAnsi="宋体" w:cs="宋体"/>
                <w:color w:val="auto"/>
                <w:szCs w:val="21"/>
                <w:highlight w:val="none"/>
              </w:rPr>
            </w:pPr>
            <w:r>
              <w:rPr>
                <w:rFonts w:hint="eastAsia" w:ascii="宋体" w:hAnsi="宋体" w:cs="宋体"/>
                <w:color w:val="auto"/>
                <w:szCs w:val="21"/>
                <w:highlight w:val="none"/>
              </w:rPr>
              <w:t>2)安装完毕，并为每台机器注册信息, 应向最终用户详细讲解保修条例；如没有注册信息而导致机器在保修期内无法保修的情况，服务商要负责此维修费用。</w:t>
            </w:r>
          </w:p>
          <w:p w14:paraId="031CF005">
            <w:pPr>
              <w:widowControl/>
              <w:jc w:val="left"/>
              <w:rPr>
                <w:rFonts w:ascii="宋体" w:hAnsi="宋体" w:cs="宋体"/>
                <w:color w:val="auto"/>
                <w:szCs w:val="21"/>
                <w:highlight w:val="none"/>
              </w:rPr>
            </w:pPr>
            <w:r>
              <w:rPr>
                <w:rFonts w:hint="eastAsia" w:ascii="宋体" w:hAnsi="宋体" w:cs="宋体"/>
                <w:color w:val="auto"/>
                <w:szCs w:val="21"/>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p>
          <w:p w14:paraId="2F9B004D">
            <w:pPr>
              <w:widowControl/>
              <w:jc w:val="left"/>
              <w:rPr>
                <w:rFonts w:ascii="宋体" w:hAnsi="宋体" w:cs="宋体"/>
                <w:color w:val="auto"/>
                <w:szCs w:val="21"/>
                <w:highlight w:val="none"/>
              </w:rPr>
            </w:pPr>
            <w:r>
              <w:rPr>
                <w:rFonts w:hint="eastAsia" w:ascii="宋体" w:hAnsi="宋体" w:cs="宋体"/>
                <w:color w:val="auto"/>
                <w:szCs w:val="21"/>
                <w:highlight w:val="none"/>
              </w:rPr>
              <w:t>4）安装/维修等服务结束后，应把工作现场打扫干净，将工具等物品复位，并将安装/维修过程中产生的垃圾带离现场。</w:t>
            </w:r>
          </w:p>
          <w:p w14:paraId="702DCD9B">
            <w:pPr>
              <w:widowControl/>
              <w:jc w:val="left"/>
              <w:rPr>
                <w:rFonts w:ascii="宋体" w:hAnsi="宋体" w:cs="宋体"/>
                <w:color w:val="auto"/>
                <w:szCs w:val="21"/>
                <w:highlight w:val="none"/>
              </w:rPr>
            </w:pPr>
            <w:r>
              <w:rPr>
                <w:rFonts w:hint="eastAsia" w:ascii="宋体" w:hAnsi="宋体" w:cs="宋体"/>
                <w:color w:val="auto"/>
                <w:szCs w:val="21"/>
                <w:highlight w:val="none"/>
              </w:rPr>
              <w:t>5）安装完毕，应将《厦门市大宗货物政府采购供货验收单》按万翔网商要求打印并交给客户盖章、签字。</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1D1DCEB6">
            <w:pPr>
              <w:widowControl/>
              <w:jc w:val="left"/>
              <w:rPr>
                <w:rFonts w:ascii="宋体" w:hAnsi="宋体" w:cs="宋体"/>
                <w:color w:val="auto"/>
                <w:szCs w:val="21"/>
                <w:highlight w:val="none"/>
              </w:rPr>
            </w:pPr>
            <w:r>
              <w:rPr>
                <w:rFonts w:hint="eastAsia" w:ascii="宋体" w:hAnsi="宋体" w:cs="宋体"/>
                <w:color w:val="auto"/>
                <w:szCs w:val="21"/>
                <w:highlight w:val="none"/>
              </w:rPr>
              <w:t>任一条，发现未按规范</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170E22C5">
            <w:pPr>
              <w:widowControl/>
              <w:jc w:val="left"/>
              <w:rPr>
                <w:rFonts w:ascii="宋体" w:hAnsi="宋体" w:cs="宋体"/>
                <w:color w:val="auto"/>
                <w:szCs w:val="21"/>
                <w:highlight w:val="none"/>
              </w:rPr>
            </w:pPr>
            <w:r>
              <w:rPr>
                <w:rFonts w:hint="eastAsia" w:ascii="宋体" w:hAnsi="宋体" w:cs="宋体"/>
                <w:color w:val="auto"/>
                <w:szCs w:val="21"/>
                <w:highlight w:val="none"/>
              </w:rPr>
              <w:t>400元/次</w:t>
            </w:r>
          </w:p>
        </w:tc>
      </w:tr>
      <w:tr w14:paraId="6C18A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23F862C2">
            <w:pPr>
              <w:widowControl/>
              <w:jc w:val="center"/>
              <w:rPr>
                <w:rFonts w:ascii="宋体" w:hAnsi="宋体" w:cs="宋体"/>
                <w:color w:val="auto"/>
                <w:szCs w:val="21"/>
                <w:highlight w:val="none"/>
              </w:rPr>
            </w:pPr>
            <w:r>
              <w:rPr>
                <w:rFonts w:hint="eastAsia" w:ascii="宋体" w:hAnsi="宋体" w:cs="宋体"/>
                <w:color w:val="auto"/>
                <w:szCs w:val="21"/>
                <w:highlight w:val="none"/>
              </w:rPr>
              <w:t>13</w:t>
            </w:r>
          </w:p>
        </w:tc>
        <w:tc>
          <w:tcPr>
            <w:tcW w:w="719" w:type="dxa"/>
            <w:vMerge w:val="continue"/>
            <w:tcBorders>
              <w:top w:val="nil"/>
              <w:left w:val="single" w:color="auto" w:sz="4" w:space="0"/>
              <w:bottom w:val="single" w:color="auto" w:sz="4" w:space="0"/>
              <w:right w:val="single" w:color="auto" w:sz="4" w:space="0"/>
            </w:tcBorders>
            <w:shd w:val="clear" w:color="auto" w:fill="auto"/>
            <w:noWrap/>
          </w:tcPr>
          <w:p w14:paraId="6FC2BDF5">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3A7F225F">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4928BB14">
            <w:pPr>
              <w:widowControl/>
              <w:jc w:val="left"/>
              <w:rPr>
                <w:rFonts w:ascii="宋体" w:hAnsi="宋体" w:cs="宋体"/>
                <w:color w:val="auto"/>
                <w:szCs w:val="21"/>
                <w:highlight w:val="none"/>
              </w:rPr>
            </w:pPr>
            <w:r>
              <w:rPr>
                <w:rFonts w:hint="eastAsia" w:ascii="宋体" w:hAnsi="宋体" w:cs="宋体"/>
                <w:color w:val="auto"/>
                <w:szCs w:val="21"/>
                <w:highlight w:val="none"/>
              </w:rPr>
              <w:t>服务仪表、态度</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79E46D3A">
            <w:pPr>
              <w:widowControl/>
              <w:jc w:val="left"/>
              <w:rPr>
                <w:rFonts w:ascii="宋体" w:hAnsi="宋体" w:cs="宋体"/>
                <w:color w:val="auto"/>
                <w:szCs w:val="21"/>
                <w:highlight w:val="none"/>
              </w:rPr>
            </w:pPr>
            <w:r>
              <w:rPr>
                <w:rFonts w:hint="eastAsia" w:ascii="宋体" w:hAnsi="宋体" w:cs="宋体"/>
                <w:color w:val="auto"/>
                <w:szCs w:val="21"/>
                <w:highlight w:val="none"/>
              </w:rPr>
              <w:t>服务人员着装应规范，言语不生硬、不敷衍、态度好；妥善处理客户的不满情绪；</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69BC598D">
            <w:pPr>
              <w:widowControl/>
              <w:jc w:val="left"/>
              <w:rPr>
                <w:rFonts w:ascii="宋体" w:hAnsi="宋体" w:cs="宋体"/>
                <w:color w:val="auto"/>
                <w:szCs w:val="21"/>
                <w:highlight w:val="none"/>
              </w:rPr>
            </w:pPr>
            <w:r>
              <w:rPr>
                <w:rFonts w:hint="eastAsia" w:ascii="宋体" w:hAnsi="宋体" w:cs="宋体"/>
                <w:color w:val="auto"/>
                <w:szCs w:val="21"/>
                <w:highlight w:val="none"/>
              </w:rPr>
              <w:t>客户反馈属实。</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091E3BD9">
            <w:pPr>
              <w:widowControl/>
              <w:jc w:val="left"/>
              <w:rPr>
                <w:rFonts w:ascii="宋体" w:hAnsi="宋体" w:cs="宋体"/>
                <w:color w:val="auto"/>
                <w:szCs w:val="21"/>
                <w:highlight w:val="none"/>
              </w:rPr>
            </w:pPr>
            <w:r>
              <w:rPr>
                <w:rFonts w:hint="eastAsia" w:ascii="宋体" w:hAnsi="宋体" w:cs="宋体"/>
                <w:color w:val="auto"/>
                <w:szCs w:val="21"/>
                <w:highlight w:val="none"/>
              </w:rPr>
              <w:t>400元/次</w:t>
            </w:r>
          </w:p>
        </w:tc>
      </w:tr>
      <w:tr w14:paraId="42E89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73077D85">
            <w:pPr>
              <w:widowControl/>
              <w:jc w:val="center"/>
              <w:rPr>
                <w:rFonts w:ascii="宋体" w:hAnsi="宋体" w:cs="宋体"/>
                <w:color w:val="auto"/>
                <w:szCs w:val="21"/>
                <w:highlight w:val="none"/>
              </w:rPr>
            </w:pPr>
            <w:r>
              <w:rPr>
                <w:rFonts w:hint="eastAsia" w:ascii="宋体" w:hAnsi="宋体" w:cs="宋体"/>
                <w:color w:val="auto"/>
                <w:szCs w:val="21"/>
                <w:highlight w:val="none"/>
              </w:rPr>
              <w:t>14</w:t>
            </w:r>
          </w:p>
        </w:tc>
        <w:tc>
          <w:tcPr>
            <w:tcW w:w="719" w:type="dxa"/>
            <w:vMerge w:val="continue"/>
            <w:tcBorders>
              <w:top w:val="nil"/>
              <w:left w:val="single" w:color="auto" w:sz="4" w:space="0"/>
              <w:bottom w:val="single" w:color="auto" w:sz="4" w:space="0"/>
              <w:right w:val="single" w:color="auto" w:sz="4" w:space="0"/>
            </w:tcBorders>
            <w:shd w:val="clear" w:color="auto" w:fill="auto"/>
            <w:noWrap/>
          </w:tcPr>
          <w:p w14:paraId="2C03E379">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3ADAD9A8">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4F21B251">
            <w:pPr>
              <w:widowControl/>
              <w:jc w:val="left"/>
              <w:rPr>
                <w:rFonts w:ascii="宋体" w:hAnsi="宋体" w:cs="宋体"/>
                <w:color w:val="auto"/>
                <w:szCs w:val="21"/>
                <w:highlight w:val="none"/>
              </w:rPr>
            </w:pPr>
            <w:r>
              <w:rPr>
                <w:rFonts w:hint="eastAsia" w:ascii="宋体" w:hAnsi="宋体" w:cs="宋体"/>
                <w:color w:val="auto"/>
                <w:szCs w:val="21"/>
                <w:highlight w:val="none"/>
              </w:rPr>
              <w:t>额外情况规范</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041DBE20">
            <w:pPr>
              <w:widowControl/>
              <w:spacing w:after="240"/>
              <w:jc w:val="left"/>
              <w:rPr>
                <w:rFonts w:ascii="宋体" w:hAnsi="宋体" w:cs="宋体"/>
                <w:color w:val="auto"/>
                <w:szCs w:val="21"/>
                <w:highlight w:val="none"/>
              </w:rPr>
            </w:pPr>
            <w:r>
              <w:rPr>
                <w:rFonts w:hint="eastAsia" w:ascii="宋体" w:hAnsi="宋体" w:cs="宋体"/>
                <w:color w:val="auto"/>
                <w:szCs w:val="21"/>
                <w:highlight w:val="none"/>
              </w:rPr>
              <w:t>1）电话联系客户时间及上门服务时间必须在最终用户的正常工作时间内，已提前沟通且客户同意的情况下除外。</w:t>
            </w:r>
            <w:r>
              <w:rPr>
                <w:rFonts w:hint="eastAsia" w:ascii="宋体" w:hAnsi="宋体" w:cs="宋体"/>
                <w:color w:val="auto"/>
                <w:szCs w:val="21"/>
                <w:highlight w:val="none"/>
              </w:rPr>
              <w:br w:type="textWrapping"/>
            </w:r>
            <w:r>
              <w:rPr>
                <w:rFonts w:hint="eastAsia" w:ascii="宋体" w:hAnsi="宋体" w:cs="宋体"/>
                <w:color w:val="auto"/>
                <w:szCs w:val="21"/>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780F00BB">
            <w:pPr>
              <w:widowControl/>
              <w:jc w:val="left"/>
              <w:rPr>
                <w:rFonts w:ascii="宋体" w:hAnsi="宋体" w:cs="宋体"/>
                <w:color w:val="auto"/>
                <w:szCs w:val="21"/>
                <w:highlight w:val="none"/>
              </w:rPr>
            </w:pPr>
            <w:r>
              <w:rPr>
                <w:rFonts w:hint="eastAsia" w:ascii="宋体" w:hAnsi="宋体" w:cs="宋体"/>
                <w:color w:val="auto"/>
                <w:szCs w:val="21"/>
                <w:highlight w:val="none"/>
              </w:rPr>
              <w:t>客户反馈属实。</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455EFA9D">
            <w:pPr>
              <w:widowControl/>
              <w:jc w:val="left"/>
              <w:rPr>
                <w:rFonts w:ascii="宋体" w:hAnsi="宋体" w:cs="宋体"/>
                <w:color w:val="auto"/>
                <w:szCs w:val="21"/>
                <w:highlight w:val="none"/>
              </w:rPr>
            </w:pPr>
            <w:r>
              <w:rPr>
                <w:rFonts w:hint="eastAsia" w:ascii="宋体" w:hAnsi="宋体" w:cs="宋体"/>
                <w:color w:val="auto"/>
                <w:szCs w:val="21"/>
                <w:highlight w:val="none"/>
              </w:rPr>
              <w:t>400元/次</w:t>
            </w:r>
          </w:p>
        </w:tc>
      </w:tr>
      <w:tr w14:paraId="560A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702017DE">
            <w:pPr>
              <w:widowControl/>
              <w:jc w:val="center"/>
              <w:rPr>
                <w:rFonts w:ascii="宋体" w:hAnsi="宋体" w:cs="宋体"/>
                <w:color w:val="auto"/>
                <w:szCs w:val="21"/>
                <w:highlight w:val="none"/>
              </w:rPr>
            </w:pPr>
            <w:r>
              <w:rPr>
                <w:rFonts w:hint="eastAsia" w:ascii="宋体" w:hAnsi="宋体" w:cs="宋体"/>
                <w:color w:val="auto"/>
                <w:szCs w:val="21"/>
                <w:highlight w:val="none"/>
              </w:rPr>
              <w:t>15</w:t>
            </w:r>
          </w:p>
        </w:tc>
        <w:tc>
          <w:tcPr>
            <w:tcW w:w="719" w:type="dxa"/>
            <w:vMerge w:val="continue"/>
            <w:tcBorders>
              <w:top w:val="nil"/>
              <w:left w:val="single" w:color="auto" w:sz="4" w:space="0"/>
              <w:bottom w:val="single" w:color="auto" w:sz="4" w:space="0"/>
              <w:right w:val="single" w:color="auto" w:sz="4" w:space="0"/>
            </w:tcBorders>
            <w:shd w:val="clear" w:color="auto" w:fill="auto"/>
            <w:noWrap/>
          </w:tcPr>
          <w:p w14:paraId="3E14A03E">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787F320E">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61DE0FA4">
            <w:pPr>
              <w:widowControl/>
              <w:jc w:val="left"/>
              <w:rPr>
                <w:rFonts w:ascii="宋体" w:hAnsi="宋体" w:cs="宋体"/>
                <w:color w:val="auto"/>
                <w:szCs w:val="21"/>
                <w:highlight w:val="none"/>
              </w:rPr>
            </w:pPr>
            <w:r>
              <w:rPr>
                <w:rFonts w:hint="eastAsia" w:ascii="宋体" w:hAnsi="宋体" w:cs="宋体"/>
                <w:color w:val="auto"/>
                <w:szCs w:val="21"/>
                <w:highlight w:val="none"/>
              </w:rPr>
              <w:t>意外情况规范</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70B0D9E3">
            <w:pPr>
              <w:widowControl/>
              <w:jc w:val="left"/>
              <w:rPr>
                <w:rFonts w:ascii="宋体" w:hAnsi="宋体" w:cs="宋体"/>
                <w:color w:val="auto"/>
                <w:szCs w:val="21"/>
                <w:highlight w:val="none"/>
              </w:rPr>
            </w:pPr>
            <w:r>
              <w:rPr>
                <w:rFonts w:hint="eastAsia" w:ascii="宋体" w:hAnsi="宋体" w:cs="宋体"/>
                <w:color w:val="auto"/>
                <w:szCs w:val="21"/>
                <w:highlight w:val="none"/>
              </w:rPr>
              <w:t>1）服务过程中如有损坏客户物品，应及时与客户沟通赔偿方案，并在约定时间内进行赔偿。</w:t>
            </w:r>
            <w:r>
              <w:rPr>
                <w:rFonts w:hint="eastAsia" w:ascii="宋体" w:hAnsi="宋体" w:cs="宋体"/>
                <w:color w:val="auto"/>
                <w:szCs w:val="21"/>
                <w:highlight w:val="none"/>
              </w:rPr>
              <w:br w:type="textWrapping"/>
            </w:r>
            <w:r>
              <w:rPr>
                <w:rFonts w:hint="eastAsia" w:ascii="宋体" w:hAnsi="宋体" w:cs="宋体"/>
                <w:color w:val="auto"/>
                <w:szCs w:val="21"/>
                <w:highlight w:val="none"/>
              </w:rPr>
              <w:t>2）安装的设备务必保证使用安全，不能出现在使用过程中掉落等意外情况；</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3BA36175">
            <w:pPr>
              <w:widowControl/>
              <w:jc w:val="left"/>
              <w:rPr>
                <w:rFonts w:ascii="宋体" w:hAnsi="宋体" w:cs="宋体"/>
                <w:color w:val="auto"/>
                <w:szCs w:val="21"/>
                <w:highlight w:val="none"/>
              </w:rPr>
            </w:pPr>
            <w:r>
              <w:rPr>
                <w:rFonts w:hint="eastAsia" w:ascii="宋体" w:hAnsi="宋体" w:cs="宋体"/>
                <w:color w:val="auto"/>
                <w:szCs w:val="21"/>
                <w:highlight w:val="none"/>
              </w:rPr>
              <w:t>客户反馈属实。</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38755FCA">
            <w:pPr>
              <w:widowControl/>
              <w:jc w:val="left"/>
              <w:rPr>
                <w:rFonts w:ascii="宋体" w:hAnsi="宋体" w:cs="宋体"/>
                <w:color w:val="auto"/>
                <w:szCs w:val="21"/>
                <w:highlight w:val="none"/>
              </w:rPr>
            </w:pPr>
            <w:r>
              <w:rPr>
                <w:rFonts w:hint="eastAsia" w:ascii="宋体" w:hAnsi="宋体" w:cs="宋体"/>
                <w:color w:val="auto"/>
                <w:szCs w:val="21"/>
                <w:highlight w:val="none"/>
              </w:rPr>
              <w:t>500元/次</w:t>
            </w:r>
          </w:p>
        </w:tc>
      </w:tr>
      <w:tr w14:paraId="7AB8C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40CFE19F">
            <w:pPr>
              <w:widowControl/>
              <w:jc w:val="center"/>
              <w:rPr>
                <w:rFonts w:ascii="宋体" w:hAnsi="宋体" w:cs="宋体"/>
                <w:color w:val="auto"/>
                <w:szCs w:val="21"/>
                <w:highlight w:val="none"/>
              </w:rPr>
            </w:pPr>
            <w:r>
              <w:rPr>
                <w:rFonts w:hint="eastAsia" w:ascii="宋体" w:hAnsi="宋体" w:cs="宋体"/>
                <w:color w:val="auto"/>
                <w:szCs w:val="21"/>
                <w:highlight w:val="none"/>
              </w:rPr>
              <w:t>16</w:t>
            </w:r>
          </w:p>
        </w:tc>
        <w:tc>
          <w:tcPr>
            <w:tcW w:w="719" w:type="dxa"/>
            <w:vMerge w:val="continue"/>
            <w:tcBorders>
              <w:top w:val="nil"/>
              <w:left w:val="single" w:color="auto" w:sz="4" w:space="0"/>
              <w:bottom w:val="single" w:color="auto" w:sz="4" w:space="0"/>
              <w:right w:val="single" w:color="auto" w:sz="4" w:space="0"/>
            </w:tcBorders>
            <w:shd w:val="clear" w:color="auto" w:fill="auto"/>
            <w:noWrap/>
          </w:tcPr>
          <w:p w14:paraId="387D6571">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679D05BC">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07FE9C85">
            <w:pPr>
              <w:widowControl/>
              <w:jc w:val="left"/>
              <w:rPr>
                <w:rFonts w:ascii="宋体" w:hAnsi="宋体" w:cs="宋体"/>
                <w:color w:val="auto"/>
                <w:szCs w:val="21"/>
                <w:highlight w:val="none"/>
              </w:rPr>
            </w:pPr>
            <w:r>
              <w:rPr>
                <w:rFonts w:hint="eastAsia" w:ascii="宋体" w:hAnsi="宋体" w:cs="宋体"/>
                <w:color w:val="auto"/>
                <w:szCs w:val="21"/>
                <w:highlight w:val="none"/>
              </w:rPr>
              <w:t>备用机使用</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303BFBD5">
            <w:pPr>
              <w:widowControl/>
              <w:jc w:val="left"/>
              <w:rPr>
                <w:rFonts w:ascii="宋体" w:hAnsi="宋体" w:cs="宋体"/>
                <w:color w:val="auto"/>
                <w:szCs w:val="21"/>
                <w:highlight w:val="none"/>
              </w:rPr>
            </w:pPr>
            <w:r>
              <w:rPr>
                <w:rFonts w:hint="eastAsia" w:ascii="宋体" w:hAnsi="宋体" w:cs="宋体"/>
                <w:color w:val="auto"/>
                <w:szCs w:val="21"/>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2A484C65">
            <w:pPr>
              <w:widowControl/>
              <w:jc w:val="left"/>
              <w:rPr>
                <w:rFonts w:ascii="宋体" w:hAnsi="宋体" w:cs="宋体"/>
                <w:color w:val="auto"/>
                <w:szCs w:val="21"/>
                <w:highlight w:val="none"/>
              </w:rPr>
            </w:pPr>
            <w:r>
              <w:rPr>
                <w:rFonts w:hint="eastAsia" w:ascii="宋体" w:hAnsi="宋体" w:cs="宋体"/>
                <w:color w:val="auto"/>
                <w:szCs w:val="21"/>
                <w:highlight w:val="none"/>
              </w:rPr>
              <w:t>未提供备用机的安装调试等；或者客户机子还未修复好，就要求客户归还备用机</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72429684">
            <w:pPr>
              <w:widowControl/>
              <w:jc w:val="left"/>
              <w:rPr>
                <w:rFonts w:ascii="宋体" w:hAnsi="宋体" w:cs="宋体"/>
                <w:color w:val="auto"/>
                <w:szCs w:val="21"/>
                <w:highlight w:val="none"/>
              </w:rPr>
            </w:pPr>
            <w:r>
              <w:rPr>
                <w:rFonts w:hint="eastAsia" w:ascii="宋体" w:hAnsi="宋体" w:cs="宋体"/>
                <w:color w:val="auto"/>
                <w:szCs w:val="21"/>
                <w:highlight w:val="none"/>
              </w:rPr>
              <w:t>400元/次</w:t>
            </w:r>
          </w:p>
        </w:tc>
      </w:tr>
      <w:tr w14:paraId="0C2B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2B5A75B9">
            <w:pPr>
              <w:widowControl/>
              <w:jc w:val="center"/>
              <w:rPr>
                <w:rFonts w:ascii="宋体" w:hAnsi="宋体" w:cs="宋体"/>
                <w:color w:val="auto"/>
                <w:szCs w:val="21"/>
                <w:highlight w:val="none"/>
              </w:rPr>
            </w:pPr>
            <w:r>
              <w:rPr>
                <w:rFonts w:hint="eastAsia" w:ascii="宋体" w:hAnsi="宋体" w:cs="宋体"/>
                <w:color w:val="auto"/>
                <w:szCs w:val="21"/>
                <w:highlight w:val="none"/>
              </w:rPr>
              <w:t>17</w:t>
            </w:r>
          </w:p>
        </w:tc>
        <w:tc>
          <w:tcPr>
            <w:tcW w:w="719" w:type="dxa"/>
            <w:tcBorders>
              <w:top w:val="single" w:color="auto" w:sz="4" w:space="0"/>
              <w:left w:val="single" w:color="auto" w:sz="4" w:space="0"/>
              <w:bottom w:val="single" w:color="auto" w:sz="4" w:space="0"/>
              <w:right w:val="single" w:color="auto" w:sz="4" w:space="0"/>
            </w:tcBorders>
            <w:shd w:val="clear" w:color="auto" w:fill="auto"/>
          </w:tcPr>
          <w:p w14:paraId="26A6D4F5">
            <w:pPr>
              <w:widowControl/>
              <w:jc w:val="center"/>
              <w:rPr>
                <w:rFonts w:ascii="宋体" w:hAnsi="宋体" w:cs="宋体"/>
                <w:color w:val="auto"/>
                <w:szCs w:val="21"/>
                <w:highlight w:val="none"/>
              </w:rPr>
            </w:pPr>
            <w:r>
              <w:rPr>
                <w:rFonts w:hint="eastAsia" w:ascii="宋体" w:hAnsi="宋体" w:cs="宋体"/>
                <w:color w:val="auto"/>
                <w:szCs w:val="21"/>
                <w:highlight w:val="none"/>
              </w:rPr>
              <w:t>服务质量</w:t>
            </w:r>
          </w:p>
        </w:tc>
        <w:tc>
          <w:tcPr>
            <w:tcW w:w="2448" w:type="dxa"/>
            <w:tcBorders>
              <w:top w:val="single" w:color="auto" w:sz="4" w:space="0"/>
              <w:left w:val="single" w:color="auto" w:sz="4" w:space="0"/>
              <w:bottom w:val="single" w:color="auto" w:sz="4" w:space="0"/>
              <w:right w:val="single" w:color="auto" w:sz="4" w:space="0"/>
            </w:tcBorders>
            <w:shd w:val="clear" w:color="auto" w:fill="auto"/>
          </w:tcPr>
          <w:p w14:paraId="5EA3C54A">
            <w:pPr>
              <w:widowControl/>
              <w:jc w:val="left"/>
              <w:rPr>
                <w:rFonts w:ascii="宋体" w:hAnsi="宋体" w:cs="宋体"/>
                <w:color w:val="auto"/>
                <w:szCs w:val="21"/>
                <w:highlight w:val="none"/>
              </w:rPr>
            </w:pPr>
            <w:r>
              <w:rPr>
                <w:rFonts w:hint="eastAsia" w:ascii="宋体" w:hAnsi="宋体" w:cs="宋体"/>
                <w:color w:val="auto"/>
                <w:szCs w:val="21"/>
                <w:highlight w:val="none"/>
              </w:rPr>
              <w:t>服务人员不具备服务能力；</w:t>
            </w:r>
            <w:r>
              <w:rPr>
                <w:rFonts w:hint="eastAsia" w:ascii="宋体" w:hAnsi="宋体" w:cs="宋体"/>
                <w:color w:val="auto"/>
                <w:szCs w:val="21"/>
                <w:highlight w:val="none"/>
              </w:rPr>
              <w:br w:type="textWrapping"/>
            </w:r>
            <w:r>
              <w:rPr>
                <w:rFonts w:hint="eastAsia" w:ascii="宋体" w:hAnsi="宋体" w:cs="宋体"/>
                <w:color w:val="auto"/>
                <w:szCs w:val="21"/>
                <w:highlight w:val="none"/>
              </w:rPr>
              <w:t>维修后一个月内又出现同样故障、或同一故障频繁重复再现；</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3D2EE40C">
            <w:pPr>
              <w:widowControl/>
              <w:jc w:val="left"/>
              <w:rPr>
                <w:rFonts w:ascii="宋体" w:hAnsi="宋体" w:cs="宋体"/>
                <w:color w:val="auto"/>
                <w:szCs w:val="21"/>
                <w:highlight w:val="none"/>
              </w:rPr>
            </w:pPr>
            <w:r>
              <w:rPr>
                <w:rFonts w:hint="eastAsia" w:ascii="宋体" w:hAnsi="宋体" w:cs="宋体"/>
                <w:color w:val="auto"/>
                <w:szCs w:val="21"/>
                <w:highlight w:val="none"/>
              </w:rPr>
              <w:t>客户报修频率</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081F5261">
            <w:pPr>
              <w:widowControl/>
              <w:jc w:val="left"/>
              <w:rPr>
                <w:rFonts w:ascii="宋体" w:hAnsi="宋体" w:cs="宋体"/>
                <w:color w:val="auto"/>
                <w:szCs w:val="21"/>
                <w:highlight w:val="none"/>
              </w:rPr>
            </w:pPr>
            <w:r>
              <w:rPr>
                <w:rFonts w:hint="eastAsia" w:ascii="宋体" w:hAnsi="宋体" w:cs="宋体"/>
                <w:color w:val="auto"/>
                <w:szCs w:val="21"/>
                <w:highlight w:val="none"/>
              </w:rPr>
              <w:t>1）一个月内再次出现同样故障。或者故障反复出现。</w:t>
            </w:r>
          </w:p>
          <w:p w14:paraId="03B19D4B">
            <w:pPr>
              <w:widowControl/>
              <w:jc w:val="left"/>
              <w:rPr>
                <w:rFonts w:ascii="宋体" w:hAnsi="宋体" w:cs="宋体"/>
                <w:color w:val="auto"/>
                <w:szCs w:val="21"/>
                <w:highlight w:val="none"/>
              </w:rPr>
            </w:pPr>
            <w:r>
              <w:rPr>
                <w:rFonts w:hint="eastAsia" w:ascii="宋体" w:hAnsi="宋体" w:cs="宋体"/>
                <w:color w:val="auto"/>
                <w:szCs w:val="21"/>
                <w:highlight w:val="none"/>
              </w:rPr>
              <w:t>2）明确由于服务引发的产品其他故障。</w:t>
            </w:r>
            <w:r>
              <w:rPr>
                <w:rFonts w:hint="eastAsia" w:ascii="宋体" w:hAnsi="宋体" w:cs="宋体"/>
                <w:color w:val="auto"/>
                <w:szCs w:val="21"/>
                <w:highlight w:val="none"/>
              </w:rPr>
              <w:br w:type="textWrapping"/>
            </w:r>
            <w:r>
              <w:rPr>
                <w:rFonts w:hint="eastAsia" w:ascii="宋体" w:hAnsi="宋体" w:cs="宋体"/>
                <w:color w:val="auto"/>
                <w:szCs w:val="21"/>
                <w:highlight w:val="none"/>
              </w:rPr>
              <w:t>3）服务人员上门后表示不会安装或维修，或安装/维修操作不熟练。</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719DE2F6">
            <w:pPr>
              <w:widowControl/>
              <w:jc w:val="left"/>
              <w:rPr>
                <w:rFonts w:ascii="宋体" w:hAnsi="宋体" w:cs="宋体"/>
                <w:color w:val="auto"/>
                <w:szCs w:val="21"/>
                <w:highlight w:val="none"/>
              </w:rPr>
            </w:pPr>
            <w:r>
              <w:rPr>
                <w:rFonts w:hint="eastAsia" w:ascii="宋体" w:hAnsi="宋体" w:cs="宋体"/>
                <w:color w:val="auto"/>
                <w:szCs w:val="21"/>
                <w:highlight w:val="none"/>
              </w:rPr>
              <w:t>客户反馈属实。</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2DDB501E">
            <w:pPr>
              <w:widowControl/>
              <w:jc w:val="left"/>
              <w:rPr>
                <w:rFonts w:ascii="宋体" w:hAnsi="宋体" w:cs="宋体"/>
                <w:color w:val="auto"/>
                <w:szCs w:val="21"/>
                <w:highlight w:val="none"/>
              </w:rPr>
            </w:pPr>
            <w:r>
              <w:rPr>
                <w:rFonts w:hint="eastAsia" w:ascii="宋体" w:hAnsi="宋体" w:cs="宋体"/>
                <w:color w:val="auto"/>
                <w:szCs w:val="21"/>
                <w:highlight w:val="none"/>
              </w:rPr>
              <w:t>400元/次</w:t>
            </w:r>
          </w:p>
        </w:tc>
      </w:tr>
      <w:tr w14:paraId="70025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65DDCFD7">
            <w:pPr>
              <w:widowControl/>
              <w:jc w:val="center"/>
              <w:rPr>
                <w:rFonts w:ascii="宋体" w:hAnsi="宋体" w:cs="宋体"/>
                <w:color w:val="auto"/>
                <w:szCs w:val="21"/>
                <w:highlight w:val="none"/>
              </w:rPr>
            </w:pPr>
            <w:r>
              <w:rPr>
                <w:rFonts w:hint="eastAsia" w:ascii="宋体" w:hAnsi="宋体" w:cs="宋体"/>
                <w:color w:val="auto"/>
                <w:szCs w:val="21"/>
                <w:highlight w:val="none"/>
              </w:rPr>
              <w:t>18</w:t>
            </w:r>
          </w:p>
        </w:tc>
        <w:tc>
          <w:tcPr>
            <w:tcW w:w="719" w:type="dxa"/>
            <w:tcBorders>
              <w:top w:val="single" w:color="auto" w:sz="4" w:space="0"/>
              <w:left w:val="single" w:color="auto" w:sz="4" w:space="0"/>
              <w:bottom w:val="single" w:color="auto" w:sz="4" w:space="0"/>
              <w:right w:val="single" w:color="auto" w:sz="4" w:space="0"/>
            </w:tcBorders>
            <w:shd w:val="clear" w:color="auto" w:fill="auto"/>
          </w:tcPr>
          <w:p w14:paraId="628C9167">
            <w:pPr>
              <w:widowControl/>
              <w:jc w:val="center"/>
              <w:rPr>
                <w:rFonts w:ascii="宋体" w:hAnsi="宋体" w:cs="宋体"/>
                <w:color w:val="auto"/>
                <w:szCs w:val="21"/>
                <w:highlight w:val="none"/>
              </w:rPr>
            </w:pPr>
            <w:r>
              <w:rPr>
                <w:rFonts w:hint="eastAsia" w:ascii="宋体" w:hAnsi="宋体" w:cs="宋体"/>
                <w:color w:val="auto"/>
                <w:szCs w:val="21"/>
                <w:highlight w:val="none"/>
              </w:rPr>
              <w:t>收费</w:t>
            </w:r>
          </w:p>
        </w:tc>
        <w:tc>
          <w:tcPr>
            <w:tcW w:w="2448" w:type="dxa"/>
            <w:tcBorders>
              <w:top w:val="single" w:color="auto" w:sz="4" w:space="0"/>
              <w:left w:val="single" w:color="auto" w:sz="4" w:space="0"/>
              <w:bottom w:val="single" w:color="auto" w:sz="4" w:space="0"/>
              <w:right w:val="single" w:color="auto" w:sz="4" w:space="0"/>
            </w:tcBorders>
            <w:shd w:val="clear" w:color="auto" w:fill="auto"/>
          </w:tcPr>
          <w:p w14:paraId="5CAD8050">
            <w:pPr>
              <w:widowControl/>
              <w:jc w:val="left"/>
              <w:rPr>
                <w:rFonts w:ascii="宋体" w:hAnsi="宋体" w:cs="宋体"/>
                <w:color w:val="auto"/>
                <w:szCs w:val="21"/>
                <w:highlight w:val="none"/>
              </w:rPr>
            </w:pPr>
            <w:r>
              <w:rPr>
                <w:rFonts w:hint="eastAsia" w:ascii="宋体" w:hAnsi="宋体" w:cs="宋体"/>
                <w:color w:val="auto"/>
                <w:szCs w:val="21"/>
                <w:highlight w:val="none"/>
              </w:rPr>
              <w:t>未按合同规定操作，未提前与最终用户沟通收费标准，多收费或乱收费</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3CCDB55F">
            <w:pPr>
              <w:widowControl/>
              <w:jc w:val="left"/>
              <w:rPr>
                <w:rFonts w:ascii="宋体" w:hAnsi="宋体" w:cs="宋体"/>
                <w:color w:val="auto"/>
                <w:szCs w:val="21"/>
                <w:highlight w:val="none"/>
              </w:rPr>
            </w:pPr>
            <w:r>
              <w:rPr>
                <w:rFonts w:hint="eastAsia" w:ascii="宋体" w:hAnsi="宋体" w:cs="宋体"/>
                <w:color w:val="auto"/>
                <w:szCs w:val="21"/>
                <w:highlight w:val="none"/>
              </w:rPr>
              <w:t>收费项目</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4E7651B5">
            <w:pPr>
              <w:widowControl/>
              <w:jc w:val="left"/>
              <w:rPr>
                <w:rFonts w:ascii="宋体" w:hAnsi="宋体" w:cs="宋体"/>
                <w:color w:val="auto"/>
                <w:szCs w:val="21"/>
                <w:highlight w:val="none"/>
              </w:rPr>
            </w:pPr>
            <w:r>
              <w:rPr>
                <w:rFonts w:hint="eastAsia" w:ascii="宋体" w:hAnsi="宋体" w:cs="宋体"/>
                <w:color w:val="auto"/>
                <w:szCs w:val="21"/>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r>
              <w:rPr>
                <w:rFonts w:hint="eastAsia" w:ascii="宋体" w:hAnsi="宋体" w:cs="宋体"/>
                <w:color w:val="auto"/>
                <w:szCs w:val="21"/>
                <w:highlight w:val="none"/>
              </w:rPr>
              <w:br w:type="textWrapping"/>
            </w:r>
            <w:r>
              <w:rPr>
                <w:rFonts w:hint="eastAsia" w:ascii="宋体" w:hAnsi="宋体" w:cs="宋体"/>
                <w:color w:val="auto"/>
                <w:szCs w:val="21"/>
                <w:highlight w:val="none"/>
              </w:rPr>
              <w:t>2）报价时应向客户提供清单明细，包括规格型号、单价、数量、总价、保修时间（如有）、保修方式（如有）；</w:t>
            </w:r>
            <w:r>
              <w:rPr>
                <w:rFonts w:hint="eastAsia" w:ascii="宋体" w:hAnsi="宋体" w:cs="宋体"/>
                <w:color w:val="auto"/>
                <w:szCs w:val="21"/>
                <w:highlight w:val="none"/>
              </w:rPr>
              <w:br w:type="textWrapping"/>
            </w:r>
            <w:r>
              <w:rPr>
                <w:rFonts w:hint="eastAsia" w:ascii="宋体" w:hAnsi="宋体" w:cs="宋体"/>
                <w:color w:val="auto"/>
                <w:szCs w:val="21"/>
                <w:highlight w:val="none"/>
              </w:rPr>
              <w:t>3）提供服务前必须征得最终用户的同意；不能出现服务完成后才告知客户需要收费。</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3EE2A5C5">
            <w:pPr>
              <w:widowControl/>
              <w:jc w:val="left"/>
              <w:rPr>
                <w:rFonts w:ascii="宋体" w:hAnsi="宋体" w:cs="宋体"/>
                <w:color w:val="auto"/>
                <w:szCs w:val="21"/>
                <w:highlight w:val="none"/>
              </w:rPr>
            </w:pPr>
            <w:r>
              <w:rPr>
                <w:rFonts w:hint="eastAsia" w:ascii="宋体" w:hAnsi="宋体" w:cs="宋体"/>
                <w:color w:val="auto"/>
                <w:szCs w:val="21"/>
                <w:highlight w:val="none"/>
              </w:rPr>
              <w:t>客户反馈属实。</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15D00288">
            <w:pPr>
              <w:widowControl/>
              <w:jc w:val="left"/>
              <w:rPr>
                <w:rFonts w:ascii="宋体" w:hAnsi="宋体" w:cs="宋体"/>
                <w:color w:val="auto"/>
                <w:szCs w:val="21"/>
                <w:highlight w:val="none"/>
              </w:rPr>
            </w:pPr>
            <w:r>
              <w:rPr>
                <w:rFonts w:hint="eastAsia" w:ascii="宋体" w:hAnsi="宋体" w:cs="宋体"/>
                <w:color w:val="auto"/>
                <w:szCs w:val="21"/>
                <w:highlight w:val="none"/>
              </w:rPr>
              <w:t>500元/次</w:t>
            </w:r>
          </w:p>
        </w:tc>
      </w:tr>
      <w:tr w14:paraId="44670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56960405">
            <w:pPr>
              <w:widowControl/>
              <w:jc w:val="center"/>
              <w:rPr>
                <w:rFonts w:ascii="宋体" w:hAnsi="宋体" w:cs="宋体"/>
                <w:color w:val="auto"/>
                <w:szCs w:val="21"/>
                <w:highlight w:val="none"/>
              </w:rPr>
            </w:pPr>
            <w:r>
              <w:rPr>
                <w:rFonts w:hint="eastAsia" w:ascii="宋体" w:hAnsi="宋体" w:cs="宋体"/>
                <w:color w:val="auto"/>
                <w:szCs w:val="21"/>
                <w:highlight w:val="none"/>
              </w:rPr>
              <w:t>19</w:t>
            </w:r>
          </w:p>
        </w:tc>
        <w:tc>
          <w:tcPr>
            <w:tcW w:w="719" w:type="dxa"/>
            <w:vMerge w:val="restart"/>
            <w:tcBorders>
              <w:top w:val="nil"/>
              <w:left w:val="single" w:color="auto" w:sz="4" w:space="0"/>
              <w:bottom w:val="single" w:color="auto" w:sz="4" w:space="0"/>
              <w:right w:val="single" w:color="auto" w:sz="4" w:space="0"/>
            </w:tcBorders>
            <w:shd w:val="clear" w:color="auto" w:fill="auto"/>
          </w:tcPr>
          <w:p w14:paraId="16AC6FD3">
            <w:pPr>
              <w:widowControl/>
              <w:jc w:val="center"/>
              <w:rPr>
                <w:rFonts w:ascii="宋体" w:hAnsi="宋体" w:cs="宋体"/>
                <w:color w:val="auto"/>
                <w:szCs w:val="21"/>
                <w:highlight w:val="none"/>
              </w:rPr>
            </w:pPr>
            <w:r>
              <w:rPr>
                <w:rFonts w:hint="eastAsia" w:ascii="宋体" w:hAnsi="宋体" w:cs="宋体"/>
                <w:color w:val="auto"/>
                <w:szCs w:val="21"/>
                <w:highlight w:val="none"/>
              </w:rPr>
              <w:t>验收报告回收时效</w:t>
            </w:r>
          </w:p>
        </w:tc>
        <w:tc>
          <w:tcPr>
            <w:tcW w:w="2448" w:type="dxa"/>
            <w:vMerge w:val="restart"/>
            <w:tcBorders>
              <w:top w:val="nil"/>
              <w:left w:val="single" w:color="auto" w:sz="4" w:space="0"/>
              <w:bottom w:val="single" w:color="auto" w:sz="4" w:space="0"/>
              <w:right w:val="single" w:color="auto" w:sz="4" w:space="0"/>
            </w:tcBorders>
            <w:shd w:val="clear" w:color="auto" w:fill="auto"/>
          </w:tcPr>
          <w:p w14:paraId="496F1A79">
            <w:pPr>
              <w:widowControl/>
              <w:jc w:val="left"/>
              <w:rPr>
                <w:rFonts w:ascii="宋体" w:hAnsi="宋体" w:cs="宋体"/>
                <w:color w:val="auto"/>
                <w:szCs w:val="21"/>
                <w:highlight w:val="none"/>
              </w:rPr>
            </w:pPr>
            <w:r>
              <w:rPr>
                <w:rFonts w:hint="eastAsia" w:ascii="宋体" w:hAnsi="宋体" w:cs="宋体"/>
                <w:color w:val="auto"/>
                <w:szCs w:val="21"/>
                <w:highlight w:val="none"/>
              </w:rPr>
              <w:t>未按合同规定，安装调试完成后应及时反馈给买方，并按照买方要求由最终用户填写《验收报告》，三个工作日内报送给买方。超过5个工作日仍未回收的，按每逾期一天10元/单的标准追加处罚。</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03E8DB7A">
            <w:pPr>
              <w:widowControl/>
              <w:jc w:val="left"/>
              <w:rPr>
                <w:rFonts w:ascii="宋体" w:hAnsi="宋体" w:cs="宋体"/>
                <w:color w:val="auto"/>
                <w:szCs w:val="21"/>
                <w:highlight w:val="none"/>
              </w:rPr>
            </w:pPr>
            <w:r>
              <w:rPr>
                <w:rFonts w:hint="eastAsia" w:ascii="宋体" w:hAnsi="宋体" w:cs="宋体"/>
                <w:color w:val="auto"/>
                <w:szCs w:val="21"/>
                <w:highlight w:val="none"/>
              </w:rPr>
              <w:t>提供给最终用户验收报告的时效</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3CD99E02">
            <w:pPr>
              <w:widowControl/>
              <w:jc w:val="left"/>
              <w:rPr>
                <w:rFonts w:ascii="宋体" w:hAnsi="宋体" w:cs="宋体"/>
                <w:color w:val="auto"/>
                <w:szCs w:val="21"/>
                <w:highlight w:val="none"/>
              </w:rPr>
            </w:pPr>
            <w:r>
              <w:rPr>
                <w:rFonts w:hint="eastAsia" w:ascii="宋体" w:hAnsi="宋体" w:cs="宋体"/>
                <w:color w:val="auto"/>
                <w:szCs w:val="21"/>
                <w:highlight w:val="none"/>
              </w:rPr>
              <w:t>1）安装完成后及时提供“验收报告”给最终用户，其中“客户联”留给客户，将其他联在2个工作日内（安装调试完毕后，次日算第一天）回收；</w:t>
            </w:r>
          </w:p>
          <w:p w14:paraId="73D5672D">
            <w:pPr>
              <w:widowControl/>
              <w:jc w:val="left"/>
              <w:rPr>
                <w:rFonts w:ascii="宋体" w:hAnsi="宋体" w:cs="宋体"/>
                <w:color w:val="auto"/>
                <w:szCs w:val="21"/>
                <w:highlight w:val="none"/>
              </w:rPr>
            </w:pPr>
            <w:r>
              <w:rPr>
                <w:rFonts w:hint="eastAsia" w:ascii="宋体" w:hAnsi="宋体" w:cs="宋体"/>
                <w:color w:val="auto"/>
                <w:szCs w:val="21"/>
                <w:highlight w:val="none"/>
              </w:rPr>
              <w:t>2）如验收报告超出约定时间提供，必须提前与最终用户做好沟通并征得最终用户的同意。</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55E96414">
            <w:pPr>
              <w:widowControl/>
              <w:jc w:val="left"/>
              <w:rPr>
                <w:rFonts w:ascii="宋体" w:hAnsi="宋体" w:cs="宋体"/>
                <w:color w:val="auto"/>
                <w:szCs w:val="21"/>
                <w:highlight w:val="none"/>
              </w:rPr>
            </w:pPr>
            <w:r>
              <w:rPr>
                <w:rFonts w:hint="eastAsia" w:ascii="宋体" w:hAnsi="宋体" w:cs="宋体"/>
                <w:color w:val="auto"/>
                <w:szCs w:val="21"/>
                <w:highlight w:val="none"/>
              </w:rPr>
              <w:t>安装后超过2个工作日客户催验收报告。</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508D30CC">
            <w:pPr>
              <w:widowControl/>
              <w:jc w:val="left"/>
              <w:rPr>
                <w:rFonts w:ascii="宋体" w:hAnsi="宋体" w:cs="宋体"/>
                <w:color w:val="auto"/>
                <w:szCs w:val="21"/>
                <w:highlight w:val="none"/>
              </w:rPr>
            </w:pPr>
            <w:r>
              <w:rPr>
                <w:rFonts w:hint="eastAsia" w:ascii="宋体" w:hAnsi="宋体" w:cs="宋体"/>
                <w:color w:val="auto"/>
                <w:szCs w:val="21"/>
                <w:highlight w:val="none"/>
              </w:rPr>
              <w:t>200元/次+（N-1）*10元/台/次</w:t>
            </w:r>
          </w:p>
        </w:tc>
      </w:tr>
      <w:tr w14:paraId="52F4F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42754326">
            <w:pPr>
              <w:widowControl/>
              <w:jc w:val="center"/>
              <w:rPr>
                <w:rFonts w:ascii="宋体" w:hAnsi="宋体" w:cs="宋体"/>
                <w:color w:val="auto"/>
                <w:szCs w:val="21"/>
                <w:highlight w:val="none"/>
              </w:rPr>
            </w:pPr>
            <w:r>
              <w:rPr>
                <w:rFonts w:hint="eastAsia" w:ascii="宋体" w:hAnsi="宋体" w:cs="宋体"/>
                <w:color w:val="auto"/>
                <w:szCs w:val="21"/>
                <w:highlight w:val="none"/>
              </w:rPr>
              <w:t>20</w:t>
            </w:r>
          </w:p>
        </w:tc>
        <w:tc>
          <w:tcPr>
            <w:tcW w:w="719" w:type="dxa"/>
            <w:vMerge w:val="continue"/>
            <w:tcBorders>
              <w:top w:val="nil"/>
              <w:left w:val="single" w:color="auto" w:sz="4" w:space="0"/>
              <w:bottom w:val="single" w:color="auto" w:sz="4" w:space="0"/>
              <w:right w:val="single" w:color="auto" w:sz="4" w:space="0"/>
            </w:tcBorders>
            <w:shd w:val="clear" w:color="auto" w:fill="auto"/>
          </w:tcPr>
          <w:p w14:paraId="3FF92EC1">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2E7E45CC">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0A352A9C">
            <w:pPr>
              <w:widowControl/>
              <w:jc w:val="left"/>
              <w:rPr>
                <w:rFonts w:ascii="宋体" w:hAnsi="宋体" w:cs="宋体"/>
                <w:color w:val="auto"/>
                <w:szCs w:val="21"/>
                <w:highlight w:val="none"/>
              </w:rPr>
            </w:pPr>
            <w:r>
              <w:rPr>
                <w:rFonts w:hint="eastAsia" w:ascii="宋体" w:hAnsi="宋体" w:cs="宋体"/>
                <w:color w:val="auto"/>
                <w:szCs w:val="21"/>
                <w:highlight w:val="none"/>
              </w:rPr>
              <w:t>提供客户签盖的验收报告给万翔</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38C1AAC6">
            <w:pPr>
              <w:widowControl/>
              <w:jc w:val="left"/>
              <w:rPr>
                <w:rFonts w:ascii="宋体" w:hAnsi="宋体" w:cs="宋体"/>
                <w:color w:val="auto"/>
                <w:szCs w:val="21"/>
                <w:highlight w:val="none"/>
              </w:rPr>
            </w:pPr>
            <w:r>
              <w:rPr>
                <w:rFonts w:hint="eastAsia" w:ascii="宋体" w:hAnsi="宋体" w:cs="宋体"/>
                <w:color w:val="auto"/>
                <w:szCs w:val="21"/>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27915209">
            <w:pPr>
              <w:widowControl/>
              <w:jc w:val="left"/>
              <w:rPr>
                <w:rFonts w:ascii="宋体" w:hAnsi="宋体" w:cs="宋体"/>
                <w:color w:val="auto"/>
                <w:szCs w:val="21"/>
                <w:highlight w:val="none"/>
              </w:rPr>
            </w:pPr>
            <w:r>
              <w:rPr>
                <w:rFonts w:hint="eastAsia" w:ascii="宋体" w:hAnsi="宋体" w:cs="宋体"/>
                <w:color w:val="auto"/>
                <w:szCs w:val="21"/>
                <w:highlight w:val="none"/>
              </w:rPr>
              <w:t>安装后超过5个工作日万翔网商未收到验收报告</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599FCBA8">
            <w:pPr>
              <w:widowControl/>
              <w:jc w:val="left"/>
              <w:rPr>
                <w:rFonts w:ascii="宋体" w:hAnsi="宋体" w:cs="宋体"/>
                <w:color w:val="auto"/>
                <w:szCs w:val="21"/>
                <w:highlight w:val="none"/>
              </w:rPr>
            </w:pPr>
            <w:r>
              <w:rPr>
                <w:rFonts w:hint="eastAsia" w:ascii="宋体" w:hAnsi="宋体" w:cs="宋体"/>
                <w:color w:val="auto"/>
                <w:szCs w:val="21"/>
                <w:highlight w:val="none"/>
              </w:rPr>
              <w:t>200元/次+（N-1）*10元/台/次</w:t>
            </w:r>
          </w:p>
        </w:tc>
      </w:tr>
      <w:tr w14:paraId="2FB64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44371FD4">
            <w:pPr>
              <w:widowControl/>
              <w:jc w:val="center"/>
              <w:rPr>
                <w:rFonts w:ascii="宋体" w:hAnsi="宋体" w:cs="宋体"/>
                <w:color w:val="auto"/>
                <w:szCs w:val="21"/>
                <w:highlight w:val="none"/>
              </w:rPr>
            </w:pPr>
            <w:r>
              <w:rPr>
                <w:rFonts w:hint="eastAsia" w:ascii="宋体" w:hAnsi="宋体" w:cs="宋体"/>
                <w:color w:val="auto"/>
                <w:szCs w:val="21"/>
                <w:highlight w:val="none"/>
              </w:rPr>
              <w:t>21</w:t>
            </w:r>
          </w:p>
        </w:tc>
        <w:tc>
          <w:tcPr>
            <w:tcW w:w="719" w:type="dxa"/>
            <w:vMerge w:val="restart"/>
            <w:tcBorders>
              <w:top w:val="nil"/>
              <w:left w:val="single" w:color="auto" w:sz="4" w:space="0"/>
              <w:bottom w:val="single" w:color="auto" w:sz="4" w:space="0"/>
              <w:right w:val="single" w:color="auto" w:sz="4" w:space="0"/>
            </w:tcBorders>
            <w:shd w:val="clear" w:color="auto" w:fill="auto"/>
          </w:tcPr>
          <w:p w14:paraId="01C22B15">
            <w:pPr>
              <w:widowControl/>
              <w:jc w:val="center"/>
              <w:rPr>
                <w:rFonts w:ascii="宋体" w:hAnsi="宋体" w:cs="宋体"/>
                <w:color w:val="auto"/>
                <w:szCs w:val="21"/>
                <w:highlight w:val="none"/>
              </w:rPr>
            </w:pPr>
            <w:r>
              <w:rPr>
                <w:rFonts w:hint="eastAsia" w:ascii="宋体" w:hAnsi="宋体" w:cs="宋体"/>
                <w:color w:val="auto"/>
                <w:szCs w:val="21"/>
                <w:highlight w:val="none"/>
              </w:rPr>
              <w:t>信息反馈</w:t>
            </w:r>
          </w:p>
        </w:tc>
        <w:tc>
          <w:tcPr>
            <w:tcW w:w="2448" w:type="dxa"/>
            <w:vMerge w:val="restart"/>
            <w:tcBorders>
              <w:top w:val="nil"/>
              <w:left w:val="single" w:color="auto" w:sz="4" w:space="0"/>
              <w:bottom w:val="single" w:color="auto" w:sz="4" w:space="0"/>
              <w:right w:val="single" w:color="auto" w:sz="4" w:space="0"/>
            </w:tcBorders>
            <w:shd w:val="clear" w:color="auto" w:fill="auto"/>
          </w:tcPr>
          <w:p w14:paraId="0B2F1D4E">
            <w:pPr>
              <w:widowControl/>
              <w:jc w:val="left"/>
              <w:rPr>
                <w:rFonts w:ascii="宋体" w:hAnsi="宋体" w:cs="宋体"/>
                <w:color w:val="auto"/>
                <w:szCs w:val="21"/>
                <w:highlight w:val="none"/>
              </w:rPr>
            </w:pPr>
            <w:r>
              <w:rPr>
                <w:rFonts w:hint="eastAsia" w:ascii="宋体" w:hAnsi="宋体" w:cs="宋体"/>
                <w:color w:val="auto"/>
                <w:szCs w:val="21"/>
                <w:highlight w:val="none"/>
              </w:rPr>
              <w:t>未按买方要求反馈所需报表，或所提供报表信息存在虚假的问题。</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45590F9F">
            <w:pPr>
              <w:widowControl/>
              <w:jc w:val="left"/>
              <w:rPr>
                <w:rFonts w:ascii="宋体" w:hAnsi="宋体" w:cs="宋体"/>
                <w:color w:val="auto"/>
                <w:szCs w:val="21"/>
                <w:highlight w:val="none"/>
              </w:rPr>
            </w:pPr>
            <w:r>
              <w:rPr>
                <w:rFonts w:hint="eastAsia" w:ascii="宋体" w:hAnsi="宋体" w:cs="宋体"/>
                <w:color w:val="auto"/>
                <w:szCs w:val="21"/>
                <w:highlight w:val="none"/>
              </w:rPr>
              <w:t>服务商操作平台进度回复</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5E10B423">
            <w:pPr>
              <w:widowControl/>
              <w:jc w:val="left"/>
              <w:rPr>
                <w:rFonts w:ascii="宋体" w:hAnsi="宋体" w:cs="宋体"/>
                <w:color w:val="auto"/>
                <w:szCs w:val="21"/>
                <w:highlight w:val="none"/>
              </w:rPr>
            </w:pPr>
            <w:r>
              <w:rPr>
                <w:rFonts w:hint="eastAsia" w:ascii="宋体" w:hAnsi="宋体" w:cs="宋体"/>
                <w:color w:val="auto"/>
                <w:szCs w:val="21"/>
                <w:highlight w:val="none"/>
              </w:rPr>
              <w:t>在收到买方派单后且在服务完成后一个工作日内进行回复</w:t>
            </w:r>
          </w:p>
        </w:tc>
        <w:tc>
          <w:tcPr>
            <w:tcW w:w="2126" w:type="dxa"/>
            <w:tcBorders>
              <w:top w:val="single" w:color="auto" w:sz="4" w:space="0"/>
              <w:left w:val="single" w:color="auto" w:sz="4" w:space="0"/>
              <w:bottom w:val="single" w:color="auto" w:sz="4" w:space="0"/>
              <w:right w:val="single" w:color="auto" w:sz="4" w:space="0"/>
            </w:tcBorders>
            <w:shd w:val="clear" w:color="auto" w:fill="auto"/>
            <w:noWrap/>
          </w:tcPr>
          <w:p w14:paraId="0DA48E69">
            <w:pPr>
              <w:widowControl/>
              <w:jc w:val="left"/>
              <w:rPr>
                <w:rFonts w:ascii="宋体" w:hAnsi="宋体" w:cs="宋体"/>
                <w:color w:val="auto"/>
                <w:szCs w:val="21"/>
                <w:highlight w:val="none"/>
              </w:rPr>
            </w:pPr>
            <w:r>
              <w:rPr>
                <w:rFonts w:hint="eastAsia" w:ascii="宋体" w:hAnsi="宋体" w:cs="宋体"/>
                <w:color w:val="auto"/>
                <w:szCs w:val="21"/>
                <w:highlight w:val="none"/>
              </w:rPr>
              <w:t>回复不及时、虚假信息等</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4761E899">
            <w:pPr>
              <w:widowControl/>
              <w:jc w:val="left"/>
              <w:rPr>
                <w:rFonts w:ascii="宋体" w:hAnsi="宋体" w:cs="宋体"/>
                <w:color w:val="auto"/>
                <w:szCs w:val="21"/>
                <w:highlight w:val="none"/>
              </w:rPr>
            </w:pPr>
            <w:r>
              <w:rPr>
                <w:rFonts w:hint="eastAsia" w:ascii="宋体" w:hAnsi="宋体" w:cs="宋体"/>
                <w:color w:val="auto"/>
                <w:szCs w:val="21"/>
                <w:highlight w:val="none"/>
              </w:rPr>
              <w:t>500元/次</w:t>
            </w:r>
          </w:p>
        </w:tc>
      </w:tr>
      <w:tr w14:paraId="3FD3B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6000F7DA">
            <w:pPr>
              <w:widowControl/>
              <w:jc w:val="center"/>
              <w:rPr>
                <w:rFonts w:ascii="宋体" w:hAnsi="宋体" w:cs="宋体"/>
                <w:color w:val="auto"/>
                <w:szCs w:val="21"/>
                <w:highlight w:val="none"/>
              </w:rPr>
            </w:pPr>
            <w:r>
              <w:rPr>
                <w:rFonts w:hint="eastAsia" w:ascii="宋体" w:hAnsi="宋体" w:cs="宋体"/>
                <w:color w:val="auto"/>
                <w:szCs w:val="21"/>
                <w:highlight w:val="none"/>
              </w:rPr>
              <w:t>22</w:t>
            </w:r>
          </w:p>
        </w:tc>
        <w:tc>
          <w:tcPr>
            <w:tcW w:w="719" w:type="dxa"/>
            <w:vMerge w:val="continue"/>
            <w:tcBorders>
              <w:top w:val="nil"/>
              <w:left w:val="single" w:color="auto" w:sz="4" w:space="0"/>
              <w:bottom w:val="single" w:color="auto" w:sz="4" w:space="0"/>
              <w:right w:val="single" w:color="auto" w:sz="4" w:space="0"/>
            </w:tcBorders>
            <w:shd w:val="clear" w:color="auto" w:fill="auto"/>
          </w:tcPr>
          <w:p w14:paraId="6400F25F">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450B1164">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6408EA8C">
            <w:pPr>
              <w:widowControl/>
              <w:jc w:val="left"/>
              <w:rPr>
                <w:rFonts w:ascii="宋体" w:hAnsi="宋体" w:cs="宋体"/>
                <w:color w:val="auto"/>
                <w:szCs w:val="21"/>
                <w:highlight w:val="none"/>
              </w:rPr>
            </w:pPr>
            <w:r>
              <w:rPr>
                <w:rFonts w:hint="eastAsia" w:ascii="宋体" w:hAnsi="宋体" w:cs="宋体"/>
                <w:color w:val="auto"/>
                <w:szCs w:val="21"/>
                <w:highlight w:val="none"/>
              </w:rPr>
              <w:t>日常售后回复信息</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66ADC003">
            <w:pPr>
              <w:widowControl/>
              <w:jc w:val="left"/>
              <w:rPr>
                <w:rFonts w:ascii="宋体" w:hAnsi="宋体" w:cs="宋体"/>
                <w:color w:val="auto"/>
                <w:szCs w:val="21"/>
                <w:highlight w:val="none"/>
              </w:rPr>
            </w:pPr>
            <w:r>
              <w:rPr>
                <w:rFonts w:hint="eastAsia" w:ascii="宋体" w:hAnsi="宋体" w:cs="宋体"/>
                <w:color w:val="auto"/>
                <w:szCs w:val="21"/>
                <w:highlight w:val="none"/>
              </w:rPr>
              <w:t>在收到买方派单后应按照合同要求及时进行回复</w:t>
            </w:r>
          </w:p>
        </w:tc>
        <w:tc>
          <w:tcPr>
            <w:tcW w:w="2126" w:type="dxa"/>
            <w:tcBorders>
              <w:top w:val="single" w:color="auto" w:sz="4" w:space="0"/>
              <w:left w:val="single" w:color="auto" w:sz="4" w:space="0"/>
              <w:bottom w:val="single" w:color="auto" w:sz="4" w:space="0"/>
              <w:right w:val="single" w:color="auto" w:sz="4" w:space="0"/>
            </w:tcBorders>
            <w:shd w:val="clear" w:color="auto" w:fill="auto"/>
            <w:noWrap/>
          </w:tcPr>
          <w:p w14:paraId="3F670504">
            <w:pPr>
              <w:widowControl/>
              <w:jc w:val="left"/>
              <w:rPr>
                <w:rFonts w:ascii="宋体" w:hAnsi="宋体" w:cs="宋体"/>
                <w:color w:val="auto"/>
                <w:szCs w:val="21"/>
                <w:highlight w:val="none"/>
              </w:rPr>
            </w:pPr>
            <w:r>
              <w:rPr>
                <w:rFonts w:hint="eastAsia" w:ascii="宋体" w:hAnsi="宋体" w:cs="宋体"/>
                <w:color w:val="auto"/>
                <w:szCs w:val="21"/>
                <w:highlight w:val="none"/>
              </w:rPr>
              <w:t>催安装、报修、退换货等售后需求，处理情况虚假等</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3CCB280C">
            <w:pPr>
              <w:widowControl/>
              <w:jc w:val="left"/>
              <w:rPr>
                <w:rFonts w:ascii="宋体" w:hAnsi="宋体" w:cs="宋体"/>
                <w:color w:val="auto"/>
                <w:szCs w:val="21"/>
                <w:highlight w:val="none"/>
              </w:rPr>
            </w:pPr>
            <w:r>
              <w:rPr>
                <w:rFonts w:hint="eastAsia" w:ascii="宋体" w:hAnsi="宋体" w:cs="宋体"/>
                <w:color w:val="auto"/>
                <w:szCs w:val="21"/>
                <w:highlight w:val="none"/>
              </w:rPr>
              <w:t>500元/次</w:t>
            </w:r>
          </w:p>
        </w:tc>
      </w:tr>
      <w:tr w14:paraId="6013C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362210D9">
            <w:pPr>
              <w:widowControl/>
              <w:jc w:val="center"/>
              <w:rPr>
                <w:rFonts w:ascii="宋体" w:hAnsi="宋体" w:cs="宋体"/>
                <w:color w:val="auto"/>
                <w:szCs w:val="21"/>
                <w:highlight w:val="none"/>
              </w:rPr>
            </w:pPr>
            <w:r>
              <w:rPr>
                <w:rFonts w:hint="eastAsia" w:ascii="宋体" w:hAnsi="宋体" w:cs="宋体"/>
                <w:color w:val="auto"/>
                <w:szCs w:val="21"/>
                <w:highlight w:val="none"/>
              </w:rPr>
              <w:t>23</w:t>
            </w:r>
          </w:p>
        </w:tc>
        <w:tc>
          <w:tcPr>
            <w:tcW w:w="719" w:type="dxa"/>
            <w:vMerge w:val="continue"/>
            <w:tcBorders>
              <w:top w:val="nil"/>
              <w:left w:val="single" w:color="auto" w:sz="4" w:space="0"/>
              <w:bottom w:val="single" w:color="auto" w:sz="4" w:space="0"/>
              <w:right w:val="single" w:color="auto" w:sz="4" w:space="0"/>
            </w:tcBorders>
            <w:shd w:val="clear" w:color="auto" w:fill="auto"/>
          </w:tcPr>
          <w:p w14:paraId="1577EBD0">
            <w:pPr>
              <w:rPr>
                <w:color w:val="auto"/>
                <w:sz w:val="20"/>
                <w:szCs w:val="20"/>
                <w:highlight w:val="none"/>
              </w:rPr>
            </w:pPr>
          </w:p>
        </w:tc>
        <w:tc>
          <w:tcPr>
            <w:tcW w:w="2448" w:type="dxa"/>
            <w:vMerge w:val="continue"/>
            <w:tcBorders>
              <w:top w:val="nil"/>
              <w:left w:val="single" w:color="auto" w:sz="4" w:space="0"/>
              <w:bottom w:val="single" w:color="auto" w:sz="4" w:space="0"/>
              <w:right w:val="single" w:color="auto" w:sz="4" w:space="0"/>
            </w:tcBorders>
            <w:shd w:val="clear" w:color="auto" w:fill="auto"/>
          </w:tcPr>
          <w:p w14:paraId="118A46B9">
            <w:pPr>
              <w:rPr>
                <w:color w:val="auto"/>
                <w:sz w:val="20"/>
                <w:szCs w:val="20"/>
                <w:highlight w:val="none"/>
              </w:rPr>
            </w:pP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5DDBE6B8">
            <w:pPr>
              <w:widowControl/>
              <w:jc w:val="left"/>
              <w:rPr>
                <w:rFonts w:ascii="宋体" w:hAnsi="宋体" w:cs="宋体"/>
                <w:color w:val="auto"/>
                <w:szCs w:val="21"/>
                <w:highlight w:val="none"/>
              </w:rPr>
            </w:pPr>
            <w:r>
              <w:rPr>
                <w:rFonts w:hint="eastAsia" w:ascii="宋体" w:hAnsi="宋体" w:cs="宋体"/>
                <w:color w:val="auto"/>
                <w:szCs w:val="21"/>
                <w:highlight w:val="none"/>
              </w:rPr>
              <w:t>其他万翔要求提供的信息</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60B33B72">
            <w:pPr>
              <w:widowControl/>
              <w:jc w:val="left"/>
              <w:rPr>
                <w:rFonts w:ascii="宋体" w:hAnsi="宋体" w:cs="宋体"/>
                <w:color w:val="auto"/>
                <w:szCs w:val="21"/>
                <w:highlight w:val="none"/>
              </w:rPr>
            </w:pPr>
            <w:r>
              <w:rPr>
                <w:rFonts w:hint="eastAsia" w:ascii="宋体" w:hAnsi="宋体" w:cs="宋体"/>
                <w:color w:val="auto"/>
                <w:szCs w:val="21"/>
                <w:highlight w:val="none"/>
              </w:rPr>
              <w:t>在收到买方派单后应按照合同要求及时进行回复</w:t>
            </w:r>
          </w:p>
        </w:tc>
        <w:tc>
          <w:tcPr>
            <w:tcW w:w="2126" w:type="dxa"/>
            <w:tcBorders>
              <w:top w:val="single" w:color="auto" w:sz="4" w:space="0"/>
              <w:left w:val="single" w:color="auto" w:sz="4" w:space="0"/>
              <w:bottom w:val="single" w:color="auto" w:sz="4" w:space="0"/>
              <w:right w:val="single" w:color="auto" w:sz="4" w:space="0"/>
            </w:tcBorders>
            <w:shd w:val="clear" w:color="auto" w:fill="auto"/>
            <w:noWrap/>
          </w:tcPr>
          <w:p w14:paraId="30DC0AA1">
            <w:pPr>
              <w:widowControl/>
              <w:jc w:val="left"/>
              <w:rPr>
                <w:rFonts w:ascii="宋体" w:hAnsi="宋体" w:cs="宋体"/>
                <w:color w:val="auto"/>
                <w:szCs w:val="21"/>
                <w:highlight w:val="none"/>
              </w:rPr>
            </w:pPr>
            <w:r>
              <w:rPr>
                <w:rFonts w:hint="eastAsia" w:ascii="宋体" w:hAnsi="宋体" w:cs="宋体"/>
                <w:color w:val="auto"/>
                <w:szCs w:val="21"/>
                <w:highlight w:val="none"/>
              </w:rPr>
              <w:t>信息虚假等</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26047AC8">
            <w:pPr>
              <w:widowControl/>
              <w:jc w:val="left"/>
              <w:rPr>
                <w:rFonts w:ascii="宋体" w:hAnsi="宋体" w:cs="宋体"/>
                <w:color w:val="auto"/>
                <w:szCs w:val="21"/>
                <w:highlight w:val="none"/>
              </w:rPr>
            </w:pPr>
            <w:r>
              <w:rPr>
                <w:rFonts w:hint="eastAsia" w:ascii="宋体" w:hAnsi="宋体" w:cs="宋体"/>
                <w:color w:val="auto"/>
                <w:szCs w:val="21"/>
                <w:highlight w:val="none"/>
              </w:rPr>
              <w:t>500元/次</w:t>
            </w:r>
          </w:p>
        </w:tc>
      </w:tr>
      <w:tr w14:paraId="56D81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7841CD70">
            <w:pPr>
              <w:widowControl/>
              <w:jc w:val="center"/>
              <w:rPr>
                <w:rFonts w:ascii="宋体" w:hAnsi="宋体" w:cs="宋体"/>
                <w:color w:val="auto"/>
                <w:szCs w:val="21"/>
                <w:highlight w:val="none"/>
              </w:rPr>
            </w:pPr>
            <w:r>
              <w:rPr>
                <w:rFonts w:hint="eastAsia" w:ascii="宋体" w:hAnsi="宋体" w:cs="宋体"/>
                <w:color w:val="auto"/>
                <w:szCs w:val="21"/>
                <w:highlight w:val="none"/>
              </w:rPr>
              <w:t>24</w:t>
            </w:r>
          </w:p>
        </w:tc>
        <w:tc>
          <w:tcPr>
            <w:tcW w:w="719" w:type="dxa"/>
            <w:vMerge w:val="restart"/>
            <w:tcBorders>
              <w:top w:val="nil"/>
              <w:left w:val="single" w:color="auto" w:sz="4" w:space="0"/>
              <w:bottom w:val="single" w:color="auto" w:sz="4" w:space="0"/>
              <w:right w:val="single" w:color="auto" w:sz="4" w:space="0"/>
            </w:tcBorders>
            <w:shd w:val="clear" w:color="auto" w:fill="auto"/>
          </w:tcPr>
          <w:p w14:paraId="409B34FE">
            <w:pPr>
              <w:widowControl/>
              <w:jc w:val="left"/>
              <w:rPr>
                <w:rFonts w:ascii="宋体" w:hAnsi="宋体" w:cs="宋体"/>
                <w:color w:val="auto"/>
                <w:szCs w:val="21"/>
                <w:highlight w:val="none"/>
              </w:rPr>
            </w:pPr>
            <w:r>
              <w:rPr>
                <w:rFonts w:hint="eastAsia" w:ascii="宋体" w:hAnsi="宋体" w:cs="宋体"/>
                <w:color w:val="auto"/>
                <w:szCs w:val="21"/>
                <w:highlight w:val="none"/>
              </w:rPr>
              <w:t>投诉（根据卖方产品质量、服务造成用户投诉的层级进行扣罚，当投诉涉及多个层级以最高层级扣罚标准为准）</w:t>
            </w:r>
          </w:p>
        </w:tc>
        <w:tc>
          <w:tcPr>
            <w:tcW w:w="2448" w:type="dxa"/>
            <w:tcBorders>
              <w:top w:val="single" w:color="auto" w:sz="4" w:space="0"/>
              <w:left w:val="single" w:color="auto" w:sz="4" w:space="0"/>
              <w:bottom w:val="single" w:color="auto" w:sz="4" w:space="0"/>
              <w:right w:val="single" w:color="auto" w:sz="4" w:space="0"/>
            </w:tcBorders>
            <w:shd w:val="clear" w:color="auto" w:fill="auto"/>
          </w:tcPr>
          <w:p w14:paraId="622D8395">
            <w:pPr>
              <w:widowControl/>
              <w:jc w:val="left"/>
              <w:rPr>
                <w:rFonts w:ascii="宋体" w:hAnsi="宋体" w:cs="宋体"/>
                <w:color w:val="auto"/>
                <w:szCs w:val="21"/>
                <w:highlight w:val="none"/>
              </w:rPr>
            </w:pPr>
            <w:r>
              <w:rPr>
                <w:rFonts w:hint="eastAsia" w:ascii="宋体" w:hAnsi="宋体" w:cs="宋体"/>
                <w:color w:val="auto"/>
                <w:szCs w:val="21"/>
                <w:highlight w:val="none"/>
              </w:rPr>
              <w:t xml:space="preserve">1、投诉至买方售后服务部门并得以证实                                        </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34C962AB">
            <w:pPr>
              <w:widowControl/>
              <w:jc w:val="left"/>
              <w:rPr>
                <w:rFonts w:ascii="宋体" w:hAnsi="宋体" w:cs="宋体"/>
                <w:color w:val="auto"/>
                <w:szCs w:val="21"/>
                <w:highlight w:val="none"/>
              </w:rPr>
            </w:pPr>
            <w:r>
              <w:rPr>
                <w:rFonts w:hint="eastAsia" w:ascii="宋体" w:hAnsi="宋体" w:cs="宋体"/>
                <w:color w:val="auto"/>
                <w:szCs w:val="21"/>
                <w:highlight w:val="none"/>
              </w:rPr>
              <w:t>投诉到万翔售后</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1DD1F993">
            <w:pPr>
              <w:widowControl/>
              <w:jc w:val="left"/>
              <w:rPr>
                <w:rFonts w:ascii="宋体" w:hAnsi="宋体" w:cs="宋体"/>
                <w:color w:val="auto"/>
                <w:szCs w:val="21"/>
                <w:highlight w:val="none"/>
              </w:rPr>
            </w:pPr>
            <w:r>
              <w:rPr>
                <w:rFonts w:hint="eastAsia" w:ascii="宋体" w:hAnsi="宋体" w:cs="宋体"/>
                <w:color w:val="auto"/>
                <w:szCs w:val="21"/>
                <w:highlight w:val="none"/>
              </w:rPr>
              <w:t>应妥善处理客户不满或者需求，不应让客户向万翔投诉</w:t>
            </w:r>
          </w:p>
        </w:tc>
        <w:tc>
          <w:tcPr>
            <w:tcW w:w="2126" w:type="dxa"/>
            <w:tcBorders>
              <w:top w:val="single" w:color="auto" w:sz="4" w:space="0"/>
              <w:left w:val="single" w:color="auto" w:sz="4" w:space="0"/>
              <w:bottom w:val="single" w:color="auto" w:sz="4" w:space="0"/>
              <w:right w:val="single" w:color="auto" w:sz="4" w:space="0"/>
            </w:tcBorders>
            <w:shd w:val="clear" w:color="auto" w:fill="auto"/>
            <w:noWrap/>
          </w:tcPr>
          <w:p w14:paraId="7A490695">
            <w:pPr>
              <w:widowControl/>
              <w:jc w:val="left"/>
              <w:rPr>
                <w:rFonts w:ascii="宋体" w:hAnsi="宋体" w:cs="宋体"/>
                <w:color w:val="auto"/>
                <w:szCs w:val="21"/>
                <w:highlight w:val="none"/>
              </w:rPr>
            </w:pPr>
            <w:r>
              <w:rPr>
                <w:rFonts w:hint="eastAsia" w:ascii="宋体" w:hAnsi="宋体" w:cs="宋体"/>
                <w:color w:val="auto"/>
                <w:szCs w:val="21"/>
                <w:highlight w:val="none"/>
              </w:rPr>
              <w:t>服务商无法证明情况不属实</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1C87DFE4">
            <w:pPr>
              <w:widowControl/>
              <w:jc w:val="left"/>
              <w:rPr>
                <w:rFonts w:ascii="宋体" w:hAnsi="宋体" w:cs="宋体"/>
                <w:color w:val="auto"/>
                <w:szCs w:val="21"/>
                <w:highlight w:val="none"/>
              </w:rPr>
            </w:pPr>
            <w:r>
              <w:rPr>
                <w:rFonts w:hint="eastAsia" w:ascii="宋体" w:hAnsi="宋体" w:cs="宋体"/>
                <w:color w:val="auto"/>
                <w:szCs w:val="21"/>
                <w:highlight w:val="none"/>
              </w:rPr>
              <w:t>10000元/次</w:t>
            </w:r>
          </w:p>
        </w:tc>
      </w:tr>
      <w:tr w14:paraId="2B579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7E4AC78A">
            <w:pPr>
              <w:widowControl/>
              <w:jc w:val="center"/>
              <w:rPr>
                <w:rFonts w:ascii="宋体" w:hAnsi="宋体" w:cs="宋体"/>
                <w:color w:val="auto"/>
                <w:szCs w:val="21"/>
                <w:highlight w:val="none"/>
              </w:rPr>
            </w:pPr>
            <w:r>
              <w:rPr>
                <w:rFonts w:hint="eastAsia" w:ascii="宋体" w:hAnsi="宋体" w:cs="宋体"/>
                <w:color w:val="auto"/>
                <w:szCs w:val="21"/>
                <w:highlight w:val="none"/>
              </w:rPr>
              <w:t>25</w:t>
            </w:r>
          </w:p>
        </w:tc>
        <w:tc>
          <w:tcPr>
            <w:tcW w:w="719" w:type="dxa"/>
            <w:vMerge w:val="continue"/>
            <w:tcBorders>
              <w:top w:val="nil"/>
              <w:left w:val="single" w:color="auto" w:sz="4" w:space="0"/>
              <w:bottom w:val="single" w:color="auto" w:sz="4" w:space="0"/>
              <w:right w:val="single" w:color="auto" w:sz="4" w:space="0"/>
            </w:tcBorders>
            <w:shd w:val="clear" w:color="auto" w:fill="auto"/>
          </w:tcPr>
          <w:p w14:paraId="5F77819D">
            <w:pPr>
              <w:rPr>
                <w:color w:val="auto"/>
                <w:sz w:val="20"/>
                <w:szCs w:val="20"/>
                <w:highlight w:val="none"/>
              </w:rPr>
            </w:pPr>
          </w:p>
        </w:tc>
        <w:tc>
          <w:tcPr>
            <w:tcW w:w="2448" w:type="dxa"/>
            <w:tcBorders>
              <w:top w:val="single" w:color="auto" w:sz="4" w:space="0"/>
              <w:left w:val="single" w:color="auto" w:sz="4" w:space="0"/>
              <w:bottom w:val="single" w:color="auto" w:sz="4" w:space="0"/>
              <w:right w:val="single" w:color="auto" w:sz="4" w:space="0"/>
            </w:tcBorders>
            <w:shd w:val="clear" w:color="auto" w:fill="auto"/>
          </w:tcPr>
          <w:p w14:paraId="5691DA36">
            <w:pPr>
              <w:widowControl/>
              <w:jc w:val="left"/>
              <w:rPr>
                <w:rFonts w:ascii="宋体" w:hAnsi="宋体" w:cs="宋体"/>
                <w:color w:val="auto"/>
                <w:szCs w:val="21"/>
                <w:highlight w:val="none"/>
              </w:rPr>
            </w:pPr>
            <w:r>
              <w:rPr>
                <w:rFonts w:hint="eastAsia" w:ascii="宋体" w:hAnsi="宋体" w:cs="宋体"/>
                <w:color w:val="auto"/>
                <w:szCs w:val="21"/>
                <w:highlight w:val="none"/>
              </w:rPr>
              <w:t xml:space="preserve">2、投诉至厦门翔业集团内部监管部门并得以证实          </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52223B8B">
            <w:pPr>
              <w:widowControl/>
              <w:jc w:val="left"/>
              <w:rPr>
                <w:rFonts w:ascii="宋体" w:hAnsi="宋体" w:cs="宋体"/>
                <w:color w:val="auto"/>
                <w:szCs w:val="21"/>
                <w:highlight w:val="none"/>
              </w:rPr>
            </w:pPr>
            <w:r>
              <w:rPr>
                <w:rFonts w:hint="eastAsia" w:ascii="宋体" w:hAnsi="宋体" w:cs="宋体"/>
                <w:color w:val="auto"/>
                <w:szCs w:val="21"/>
                <w:highlight w:val="none"/>
              </w:rPr>
              <w:t>投诉到翔业集团内部监管部门</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7348A69B">
            <w:pPr>
              <w:widowControl/>
              <w:jc w:val="left"/>
              <w:rPr>
                <w:rFonts w:ascii="宋体" w:hAnsi="宋体" w:cs="宋体"/>
                <w:color w:val="auto"/>
                <w:szCs w:val="21"/>
                <w:highlight w:val="none"/>
              </w:rPr>
            </w:pPr>
            <w:r>
              <w:rPr>
                <w:rFonts w:hint="eastAsia" w:ascii="宋体" w:hAnsi="宋体" w:cs="宋体"/>
                <w:color w:val="auto"/>
                <w:szCs w:val="21"/>
                <w:highlight w:val="none"/>
              </w:rPr>
              <w:t>应妥善处理客户不满或者需求，不应让客户向翔业集团监管部门投诉</w:t>
            </w:r>
          </w:p>
        </w:tc>
        <w:tc>
          <w:tcPr>
            <w:tcW w:w="2126" w:type="dxa"/>
            <w:tcBorders>
              <w:top w:val="single" w:color="auto" w:sz="4" w:space="0"/>
              <w:left w:val="single" w:color="auto" w:sz="4" w:space="0"/>
              <w:bottom w:val="single" w:color="auto" w:sz="4" w:space="0"/>
              <w:right w:val="single" w:color="auto" w:sz="4" w:space="0"/>
            </w:tcBorders>
            <w:shd w:val="clear" w:color="auto" w:fill="auto"/>
            <w:noWrap/>
          </w:tcPr>
          <w:p w14:paraId="0F41011C">
            <w:pPr>
              <w:widowControl/>
              <w:jc w:val="left"/>
              <w:rPr>
                <w:rFonts w:ascii="宋体" w:hAnsi="宋体" w:cs="宋体"/>
                <w:color w:val="auto"/>
                <w:szCs w:val="21"/>
                <w:highlight w:val="none"/>
              </w:rPr>
            </w:pPr>
            <w:r>
              <w:rPr>
                <w:rFonts w:hint="eastAsia" w:ascii="宋体" w:hAnsi="宋体" w:cs="宋体"/>
                <w:color w:val="auto"/>
                <w:szCs w:val="21"/>
                <w:highlight w:val="none"/>
              </w:rPr>
              <w:t>服务商无法证明情况不属实</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75D2AD77">
            <w:pPr>
              <w:widowControl/>
              <w:jc w:val="left"/>
              <w:rPr>
                <w:rFonts w:ascii="宋体" w:hAnsi="宋体" w:cs="宋体"/>
                <w:color w:val="auto"/>
                <w:szCs w:val="21"/>
                <w:highlight w:val="none"/>
              </w:rPr>
            </w:pPr>
            <w:r>
              <w:rPr>
                <w:rFonts w:hint="eastAsia" w:ascii="宋体" w:hAnsi="宋体" w:cs="宋体"/>
                <w:color w:val="auto"/>
                <w:szCs w:val="21"/>
                <w:highlight w:val="none"/>
              </w:rPr>
              <w:t>20000元/次</w:t>
            </w:r>
          </w:p>
        </w:tc>
      </w:tr>
      <w:tr w14:paraId="07C3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1DA597AC">
            <w:pPr>
              <w:widowControl/>
              <w:jc w:val="center"/>
              <w:rPr>
                <w:rFonts w:ascii="宋体" w:hAnsi="宋体" w:cs="宋体"/>
                <w:color w:val="auto"/>
                <w:szCs w:val="21"/>
                <w:highlight w:val="none"/>
              </w:rPr>
            </w:pPr>
            <w:r>
              <w:rPr>
                <w:rFonts w:hint="eastAsia" w:ascii="宋体" w:hAnsi="宋体" w:cs="宋体"/>
                <w:color w:val="auto"/>
                <w:szCs w:val="21"/>
                <w:highlight w:val="none"/>
              </w:rPr>
              <w:t>26</w:t>
            </w:r>
          </w:p>
        </w:tc>
        <w:tc>
          <w:tcPr>
            <w:tcW w:w="719" w:type="dxa"/>
            <w:vMerge w:val="continue"/>
            <w:tcBorders>
              <w:top w:val="nil"/>
              <w:left w:val="single" w:color="auto" w:sz="4" w:space="0"/>
              <w:bottom w:val="single" w:color="auto" w:sz="4" w:space="0"/>
              <w:right w:val="single" w:color="auto" w:sz="4" w:space="0"/>
            </w:tcBorders>
            <w:shd w:val="clear" w:color="auto" w:fill="auto"/>
          </w:tcPr>
          <w:p w14:paraId="1B50138B">
            <w:pPr>
              <w:rPr>
                <w:color w:val="auto"/>
                <w:sz w:val="20"/>
                <w:szCs w:val="20"/>
                <w:highlight w:val="none"/>
              </w:rPr>
            </w:pPr>
          </w:p>
        </w:tc>
        <w:tc>
          <w:tcPr>
            <w:tcW w:w="2448" w:type="dxa"/>
            <w:tcBorders>
              <w:top w:val="single" w:color="auto" w:sz="4" w:space="0"/>
              <w:left w:val="single" w:color="auto" w:sz="4" w:space="0"/>
              <w:bottom w:val="single" w:color="auto" w:sz="4" w:space="0"/>
              <w:right w:val="single" w:color="auto" w:sz="4" w:space="0"/>
            </w:tcBorders>
            <w:shd w:val="clear" w:color="auto" w:fill="auto"/>
          </w:tcPr>
          <w:p w14:paraId="2C321A12">
            <w:pPr>
              <w:widowControl/>
              <w:jc w:val="left"/>
              <w:rPr>
                <w:rFonts w:ascii="宋体" w:hAnsi="宋体" w:cs="宋体"/>
                <w:color w:val="auto"/>
                <w:szCs w:val="21"/>
                <w:highlight w:val="none"/>
              </w:rPr>
            </w:pPr>
            <w:r>
              <w:rPr>
                <w:rFonts w:hint="eastAsia" w:ascii="宋体" w:hAnsi="宋体" w:cs="宋体"/>
                <w:color w:val="auto"/>
                <w:szCs w:val="21"/>
                <w:highlight w:val="none"/>
              </w:rPr>
              <w:t>3、投诉至社会监管部门（如工商局等）并得到证实</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48E8379A">
            <w:pPr>
              <w:widowControl/>
              <w:jc w:val="left"/>
              <w:rPr>
                <w:rFonts w:ascii="宋体" w:hAnsi="宋体" w:cs="宋体"/>
                <w:color w:val="auto"/>
                <w:szCs w:val="21"/>
                <w:highlight w:val="none"/>
              </w:rPr>
            </w:pPr>
            <w:r>
              <w:rPr>
                <w:rFonts w:hint="eastAsia" w:ascii="宋体" w:hAnsi="宋体" w:cs="宋体"/>
                <w:color w:val="auto"/>
                <w:szCs w:val="21"/>
                <w:highlight w:val="none"/>
              </w:rPr>
              <w:t>投诉到社会监管部门</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7C614034">
            <w:pPr>
              <w:widowControl/>
              <w:jc w:val="left"/>
              <w:rPr>
                <w:rFonts w:ascii="宋体" w:hAnsi="宋体" w:cs="宋体"/>
                <w:color w:val="auto"/>
                <w:szCs w:val="21"/>
                <w:highlight w:val="none"/>
              </w:rPr>
            </w:pPr>
            <w:r>
              <w:rPr>
                <w:rFonts w:hint="eastAsia" w:ascii="宋体" w:hAnsi="宋体" w:cs="宋体"/>
                <w:color w:val="auto"/>
                <w:szCs w:val="21"/>
                <w:highlight w:val="none"/>
              </w:rPr>
              <w:t>应妥善处理客户不满或者需求，不应让客户社会监管部门投诉</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32B5C012">
            <w:pPr>
              <w:widowControl/>
              <w:jc w:val="left"/>
              <w:rPr>
                <w:rFonts w:ascii="宋体" w:hAnsi="宋体" w:cs="宋体"/>
                <w:color w:val="auto"/>
                <w:szCs w:val="21"/>
                <w:highlight w:val="none"/>
              </w:rPr>
            </w:pPr>
            <w:r>
              <w:rPr>
                <w:rFonts w:hint="eastAsia" w:ascii="宋体" w:hAnsi="宋体" w:cs="宋体"/>
                <w:color w:val="auto"/>
                <w:szCs w:val="21"/>
                <w:highlight w:val="none"/>
              </w:rPr>
              <w:t>服务商无法取得社会监管部门撤诉</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1FDBB064">
            <w:pPr>
              <w:widowControl/>
              <w:jc w:val="left"/>
              <w:rPr>
                <w:rFonts w:ascii="宋体" w:hAnsi="宋体" w:cs="宋体"/>
                <w:color w:val="auto"/>
                <w:szCs w:val="21"/>
                <w:highlight w:val="none"/>
              </w:rPr>
            </w:pPr>
            <w:r>
              <w:rPr>
                <w:rFonts w:hint="eastAsia" w:ascii="宋体" w:hAnsi="宋体" w:cs="宋体"/>
                <w:color w:val="auto"/>
                <w:szCs w:val="21"/>
                <w:highlight w:val="none"/>
              </w:rPr>
              <w:t>40000元/次</w:t>
            </w:r>
          </w:p>
        </w:tc>
      </w:tr>
      <w:tr w14:paraId="6D09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485" w:type="dxa"/>
            <w:tcBorders>
              <w:top w:val="single" w:color="auto" w:sz="4" w:space="0"/>
              <w:left w:val="single" w:color="auto" w:sz="4" w:space="0"/>
              <w:bottom w:val="single" w:color="auto" w:sz="4" w:space="0"/>
              <w:right w:val="single" w:color="auto" w:sz="4" w:space="0"/>
            </w:tcBorders>
            <w:shd w:val="clear" w:color="auto" w:fill="auto"/>
            <w:noWrap/>
          </w:tcPr>
          <w:p w14:paraId="2762A3AF">
            <w:pPr>
              <w:widowControl/>
              <w:jc w:val="center"/>
              <w:rPr>
                <w:rFonts w:ascii="宋体" w:hAnsi="宋体" w:cs="宋体"/>
                <w:color w:val="auto"/>
                <w:szCs w:val="21"/>
                <w:highlight w:val="none"/>
              </w:rPr>
            </w:pPr>
            <w:r>
              <w:rPr>
                <w:rFonts w:hint="eastAsia" w:ascii="宋体" w:hAnsi="宋体" w:cs="宋体"/>
                <w:color w:val="auto"/>
                <w:szCs w:val="21"/>
                <w:highlight w:val="none"/>
              </w:rPr>
              <w:t>27</w:t>
            </w:r>
          </w:p>
        </w:tc>
        <w:tc>
          <w:tcPr>
            <w:tcW w:w="719" w:type="dxa"/>
            <w:vMerge w:val="continue"/>
            <w:tcBorders>
              <w:top w:val="nil"/>
              <w:left w:val="single" w:color="auto" w:sz="4" w:space="0"/>
              <w:bottom w:val="single" w:color="auto" w:sz="4" w:space="0"/>
              <w:right w:val="single" w:color="auto" w:sz="4" w:space="0"/>
            </w:tcBorders>
            <w:shd w:val="clear" w:color="auto" w:fill="auto"/>
          </w:tcPr>
          <w:p w14:paraId="614E100C">
            <w:pPr>
              <w:rPr>
                <w:color w:val="auto"/>
                <w:sz w:val="20"/>
                <w:szCs w:val="20"/>
                <w:highlight w:val="none"/>
              </w:rPr>
            </w:pPr>
          </w:p>
        </w:tc>
        <w:tc>
          <w:tcPr>
            <w:tcW w:w="2448" w:type="dxa"/>
            <w:tcBorders>
              <w:top w:val="single" w:color="auto" w:sz="4" w:space="0"/>
              <w:left w:val="single" w:color="auto" w:sz="4" w:space="0"/>
              <w:bottom w:val="single" w:color="auto" w:sz="4" w:space="0"/>
              <w:right w:val="single" w:color="auto" w:sz="4" w:space="0"/>
            </w:tcBorders>
            <w:shd w:val="clear" w:color="auto" w:fill="auto"/>
          </w:tcPr>
          <w:p w14:paraId="50CA559C">
            <w:pPr>
              <w:widowControl/>
              <w:jc w:val="left"/>
              <w:rPr>
                <w:rFonts w:ascii="宋体" w:hAnsi="宋体" w:cs="宋体"/>
                <w:color w:val="auto"/>
                <w:szCs w:val="21"/>
                <w:highlight w:val="none"/>
              </w:rPr>
            </w:pPr>
            <w:r>
              <w:rPr>
                <w:rFonts w:hint="eastAsia" w:ascii="宋体" w:hAnsi="宋体" w:cs="宋体"/>
                <w:color w:val="auto"/>
                <w:szCs w:val="21"/>
                <w:highlight w:val="none"/>
              </w:rPr>
              <w:t xml:space="preserve">4、投诉至社会媒体并被曝光（如报纸、杂志、电视广播、主流官网等）                                       </w:t>
            </w:r>
          </w:p>
        </w:tc>
        <w:tc>
          <w:tcPr>
            <w:tcW w:w="1559" w:type="dxa"/>
            <w:tcBorders>
              <w:top w:val="single" w:color="auto" w:sz="4" w:space="0"/>
              <w:left w:val="single" w:color="auto" w:sz="4" w:space="0"/>
              <w:bottom w:val="single" w:color="auto" w:sz="4" w:space="0"/>
              <w:right w:val="single" w:color="auto" w:sz="4" w:space="0"/>
            </w:tcBorders>
            <w:shd w:val="clear" w:color="auto" w:fill="auto"/>
          </w:tcPr>
          <w:p w14:paraId="299FBC13">
            <w:pPr>
              <w:widowControl/>
              <w:jc w:val="left"/>
              <w:rPr>
                <w:rFonts w:ascii="宋体" w:hAnsi="宋体" w:cs="宋体"/>
                <w:color w:val="auto"/>
                <w:szCs w:val="21"/>
                <w:highlight w:val="none"/>
              </w:rPr>
            </w:pPr>
            <w:r>
              <w:rPr>
                <w:rFonts w:hint="eastAsia" w:ascii="宋体" w:hAnsi="宋体" w:cs="宋体"/>
                <w:color w:val="auto"/>
                <w:szCs w:val="21"/>
                <w:highlight w:val="none"/>
              </w:rPr>
              <w:t xml:space="preserve">投诉至社会媒体并被曝光（如报纸、杂志、电视广播、主流官网等）                                       </w:t>
            </w:r>
          </w:p>
        </w:tc>
        <w:tc>
          <w:tcPr>
            <w:tcW w:w="4253" w:type="dxa"/>
            <w:tcBorders>
              <w:top w:val="single" w:color="auto" w:sz="4" w:space="0"/>
              <w:left w:val="single" w:color="auto" w:sz="4" w:space="0"/>
              <w:bottom w:val="single" w:color="auto" w:sz="4" w:space="0"/>
              <w:right w:val="single" w:color="auto" w:sz="4" w:space="0"/>
            </w:tcBorders>
            <w:shd w:val="clear" w:color="auto" w:fill="auto"/>
          </w:tcPr>
          <w:p w14:paraId="2E166CCE">
            <w:pPr>
              <w:widowControl/>
              <w:jc w:val="left"/>
              <w:rPr>
                <w:rFonts w:ascii="宋体" w:hAnsi="宋体" w:cs="宋体"/>
                <w:color w:val="auto"/>
                <w:szCs w:val="21"/>
                <w:highlight w:val="none"/>
              </w:rPr>
            </w:pPr>
            <w:r>
              <w:rPr>
                <w:rFonts w:hint="eastAsia" w:ascii="宋体" w:hAnsi="宋体" w:cs="宋体"/>
                <w:color w:val="auto"/>
                <w:szCs w:val="21"/>
                <w:highlight w:val="none"/>
              </w:rPr>
              <w:t>应妥善处理客户不满或者需求，不应让客户投诉到社会媒体</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3AF8388B">
            <w:pPr>
              <w:widowControl/>
              <w:jc w:val="left"/>
              <w:rPr>
                <w:rFonts w:ascii="宋体" w:hAnsi="宋体" w:cs="宋体"/>
                <w:color w:val="auto"/>
                <w:szCs w:val="21"/>
                <w:highlight w:val="none"/>
              </w:rPr>
            </w:pPr>
            <w:r>
              <w:rPr>
                <w:rFonts w:hint="eastAsia" w:ascii="宋体" w:hAnsi="宋体" w:cs="宋体"/>
                <w:color w:val="auto"/>
                <w:szCs w:val="21"/>
                <w:highlight w:val="none"/>
              </w:rPr>
              <w:t>报纸、杂志、电视广播、主流官网等曝光了事情</w:t>
            </w:r>
          </w:p>
        </w:tc>
        <w:tc>
          <w:tcPr>
            <w:tcW w:w="2126" w:type="dxa"/>
            <w:tcBorders>
              <w:top w:val="single" w:color="auto" w:sz="4" w:space="0"/>
              <w:left w:val="single" w:color="auto" w:sz="4" w:space="0"/>
              <w:bottom w:val="single" w:color="auto" w:sz="4" w:space="0"/>
              <w:right w:val="single" w:color="auto" w:sz="4" w:space="0"/>
            </w:tcBorders>
            <w:shd w:val="clear" w:color="auto" w:fill="auto"/>
          </w:tcPr>
          <w:p w14:paraId="50DF5BF7">
            <w:pPr>
              <w:widowControl/>
              <w:jc w:val="left"/>
              <w:rPr>
                <w:rFonts w:ascii="宋体" w:hAnsi="宋体" w:cs="宋体"/>
                <w:color w:val="auto"/>
                <w:szCs w:val="21"/>
                <w:highlight w:val="none"/>
              </w:rPr>
            </w:pPr>
            <w:r>
              <w:rPr>
                <w:rFonts w:hint="eastAsia" w:ascii="宋体" w:hAnsi="宋体" w:cs="宋体"/>
                <w:color w:val="auto"/>
                <w:szCs w:val="21"/>
                <w:highlight w:val="none"/>
              </w:rPr>
              <w:t>200000元/次</w:t>
            </w:r>
          </w:p>
        </w:tc>
      </w:tr>
      <w:tr w14:paraId="5ABA5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85" w:type="dxa"/>
            <w:tcBorders>
              <w:top w:val="single" w:color="auto" w:sz="4" w:space="0"/>
              <w:left w:val="single" w:color="auto" w:sz="4" w:space="0"/>
              <w:bottom w:val="single" w:color="auto" w:sz="4" w:space="0"/>
              <w:right w:val="single" w:color="auto" w:sz="4" w:space="0"/>
            </w:tcBorders>
            <w:shd w:val="clear" w:color="auto" w:fill="FFFF00"/>
          </w:tcPr>
          <w:p w14:paraId="4874AE25">
            <w:pPr>
              <w:rPr>
                <w:rFonts w:ascii="宋体" w:hAnsi="宋体"/>
                <w:color w:val="auto"/>
                <w:szCs w:val="21"/>
                <w:highlight w:val="none"/>
              </w:rPr>
            </w:pPr>
            <w:r>
              <w:rPr>
                <w:rFonts w:hint="eastAsia" w:ascii="宋体" w:hAnsi="宋体" w:cs="宋体"/>
                <w:color w:val="auto"/>
                <w:szCs w:val="21"/>
                <w:highlight w:val="none"/>
              </w:rPr>
              <w:t>28</w:t>
            </w:r>
          </w:p>
        </w:tc>
        <w:tc>
          <w:tcPr>
            <w:tcW w:w="719" w:type="dxa"/>
            <w:tcBorders>
              <w:top w:val="single" w:color="auto" w:sz="4" w:space="0"/>
              <w:left w:val="single" w:color="auto" w:sz="4" w:space="0"/>
              <w:bottom w:val="single" w:color="auto" w:sz="4" w:space="0"/>
              <w:right w:val="single" w:color="auto" w:sz="4" w:space="0"/>
            </w:tcBorders>
            <w:shd w:val="clear" w:color="auto" w:fill="FFFF00"/>
          </w:tcPr>
          <w:p w14:paraId="437E2DD7">
            <w:pPr>
              <w:rPr>
                <w:rFonts w:ascii="宋体" w:hAnsi="宋体"/>
                <w:color w:val="auto"/>
                <w:szCs w:val="21"/>
                <w:highlight w:val="none"/>
              </w:rPr>
            </w:pPr>
            <w:r>
              <w:rPr>
                <w:rFonts w:hint="eastAsia" w:ascii="宋体" w:hAnsi="宋体" w:cs="宋体"/>
                <w:color w:val="auto"/>
                <w:szCs w:val="21"/>
                <w:highlight w:val="none"/>
              </w:rPr>
              <w:t>考核罚款缴交</w:t>
            </w:r>
          </w:p>
        </w:tc>
        <w:tc>
          <w:tcPr>
            <w:tcW w:w="2448" w:type="dxa"/>
            <w:tcBorders>
              <w:top w:val="single" w:color="auto" w:sz="4" w:space="0"/>
              <w:left w:val="single" w:color="auto" w:sz="4" w:space="0"/>
              <w:bottom w:val="single" w:color="auto" w:sz="4" w:space="0"/>
              <w:right w:val="single" w:color="auto" w:sz="4" w:space="0"/>
            </w:tcBorders>
            <w:shd w:val="clear" w:color="auto" w:fill="FFFF00"/>
          </w:tcPr>
          <w:p w14:paraId="5A1E2E7A">
            <w:pPr>
              <w:ind w:right="-107" w:rightChars="-51"/>
              <w:rPr>
                <w:rFonts w:ascii="宋体" w:hAnsi="宋体"/>
                <w:color w:val="auto"/>
                <w:szCs w:val="21"/>
                <w:highlight w:val="none"/>
              </w:rPr>
            </w:pPr>
            <w:r>
              <w:rPr>
                <w:rFonts w:hint="eastAsia" w:ascii="宋体" w:hAnsi="宋体" w:cs="宋体"/>
                <w:color w:val="auto"/>
                <w:szCs w:val="21"/>
                <w:highlight w:val="none"/>
              </w:rPr>
              <w:t>收到考核表后30个日历日内交清考核款项</w:t>
            </w:r>
          </w:p>
        </w:tc>
        <w:tc>
          <w:tcPr>
            <w:tcW w:w="1559" w:type="dxa"/>
            <w:tcBorders>
              <w:top w:val="single" w:color="auto" w:sz="4" w:space="0"/>
              <w:left w:val="single" w:color="auto" w:sz="4" w:space="0"/>
              <w:bottom w:val="single" w:color="auto" w:sz="4" w:space="0"/>
              <w:right w:val="single" w:color="auto" w:sz="4" w:space="0"/>
            </w:tcBorders>
            <w:shd w:val="clear" w:color="auto" w:fill="FFFF00"/>
          </w:tcPr>
          <w:p w14:paraId="6BF4A18B">
            <w:pPr>
              <w:rPr>
                <w:rFonts w:ascii="宋体" w:hAnsi="宋体"/>
                <w:color w:val="auto"/>
                <w:szCs w:val="21"/>
                <w:highlight w:val="none"/>
              </w:rPr>
            </w:pPr>
            <w:r>
              <w:rPr>
                <w:rFonts w:hint="eastAsia" w:ascii="宋体" w:hAnsi="宋体" w:cs="宋体"/>
                <w:color w:val="auto"/>
                <w:szCs w:val="21"/>
                <w:highlight w:val="none"/>
              </w:rPr>
              <w:t>扣罚缴交</w:t>
            </w:r>
          </w:p>
        </w:tc>
        <w:tc>
          <w:tcPr>
            <w:tcW w:w="4253" w:type="dxa"/>
            <w:tcBorders>
              <w:top w:val="single" w:color="auto" w:sz="4" w:space="0"/>
              <w:left w:val="single" w:color="auto" w:sz="4" w:space="0"/>
              <w:bottom w:val="single" w:color="auto" w:sz="4" w:space="0"/>
              <w:right w:val="single" w:color="auto" w:sz="4" w:space="0"/>
            </w:tcBorders>
            <w:shd w:val="clear" w:color="auto" w:fill="FFFF00"/>
          </w:tcPr>
          <w:p w14:paraId="3076F037">
            <w:pPr>
              <w:rPr>
                <w:rFonts w:ascii="宋体" w:hAnsi="宋体"/>
                <w:color w:val="auto"/>
                <w:szCs w:val="21"/>
                <w:highlight w:val="none"/>
              </w:rPr>
            </w:pPr>
            <w:r>
              <w:rPr>
                <w:rFonts w:hint="eastAsia" w:ascii="宋体" w:hAnsi="宋体" w:cs="宋体"/>
                <w:color w:val="auto"/>
                <w:szCs w:val="21"/>
                <w:highlight w:val="none"/>
              </w:rPr>
              <w:t>服务商应在收到万翔网商发出考核表后的30个日历日内交清罚款，交完后将付款情况告知万翔网商对应的采购专员。</w:t>
            </w:r>
          </w:p>
        </w:tc>
        <w:tc>
          <w:tcPr>
            <w:tcW w:w="2126" w:type="dxa"/>
            <w:tcBorders>
              <w:top w:val="single" w:color="auto" w:sz="4" w:space="0"/>
              <w:left w:val="single" w:color="auto" w:sz="4" w:space="0"/>
              <w:bottom w:val="single" w:color="auto" w:sz="4" w:space="0"/>
              <w:right w:val="single" w:color="auto" w:sz="4" w:space="0"/>
            </w:tcBorders>
            <w:shd w:val="clear" w:color="auto" w:fill="FFFF00"/>
          </w:tcPr>
          <w:p w14:paraId="5CAC338D">
            <w:pPr>
              <w:rPr>
                <w:rFonts w:ascii="宋体" w:hAnsi="宋体"/>
                <w:color w:val="auto"/>
                <w:szCs w:val="21"/>
                <w:highlight w:val="none"/>
              </w:rPr>
            </w:pPr>
            <w:r>
              <w:rPr>
                <w:rFonts w:hint="eastAsia" w:ascii="宋体" w:hAnsi="宋体" w:cs="宋体"/>
                <w:color w:val="auto"/>
                <w:szCs w:val="21"/>
                <w:highlight w:val="none"/>
              </w:rPr>
              <w:t>未按要求时效和金额缴交罚款</w:t>
            </w:r>
          </w:p>
        </w:tc>
        <w:tc>
          <w:tcPr>
            <w:tcW w:w="2126" w:type="dxa"/>
            <w:tcBorders>
              <w:top w:val="single" w:color="auto" w:sz="4" w:space="0"/>
              <w:left w:val="single" w:color="auto" w:sz="4" w:space="0"/>
              <w:bottom w:val="single" w:color="auto" w:sz="4" w:space="0"/>
              <w:right w:val="single" w:color="auto" w:sz="4" w:space="0"/>
            </w:tcBorders>
            <w:shd w:val="clear" w:color="auto" w:fill="FFFF00"/>
          </w:tcPr>
          <w:p w14:paraId="168C7DAE">
            <w:pPr>
              <w:rPr>
                <w:rFonts w:ascii="宋体" w:hAnsi="宋体"/>
                <w:color w:val="auto"/>
                <w:szCs w:val="21"/>
                <w:highlight w:val="none"/>
              </w:rPr>
            </w:pPr>
            <w:r>
              <w:rPr>
                <w:rFonts w:hint="eastAsia" w:ascii="宋体" w:hAnsi="宋体" w:cs="宋体"/>
                <w:color w:val="auto"/>
                <w:szCs w:val="21"/>
                <w:highlight w:val="none"/>
              </w:rPr>
              <w:t>超过30个日历日按双倍罚款金额扣罚</w:t>
            </w:r>
          </w:p>
        </w:tc>
      </w:tr>
    </w:tbl>
    <w:p w14:paraId="129C6DD1">
      <w:pPr>
        <w:spacing w:line="360" w:lineRule="auto"/>
        <w:rPr>
          <w:rFonts w:ascii="宋体" w:hAnsi="宋体"/>
          <w:color w:val="auto"/>
          <w:szCs w:val="21"/>
          <w:highlight w:val="none"/>
        </w:rPr>
      </w:pPr>
    </w:p>
    <w:p w14:paraId="44D1BE5C">
      <w:pPr>
        <w:rPr>
          <w:color w:val="auto"/>
          <w:highlight w:val="none"/>
        </w:rPr>
      </w:pPr>
    </w:p>
    <w:sectPr>
      <w:footerReference r:id="rId12" w:type="default"/>
      <w:pgSz w:w="16838" w:h="11906" w:orient="landscape"/>
      <w:pgMar w:top="1800" w:right="1440" w:bottom="1800" w:left="144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2DB83">
    <w:pPr>
      <w:pStyle w:val="8"/>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B1B0A">
    <w:pPr>
      <w:pStyle w:val="8"/>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DE5FA">
    <w:pPr>
      <w:pStyle w:val="8"/>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4</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27B42">
    <w:pPr>
      <w:pStyle w:val="8"/>
      <w:jc w:val="center"/>
      <w:rPr>
        <w:rFonts w:ascii="宋体" w:hAnsi="宋体"/>
      </w:rPr>
    </w:pPr>
    <w:r>
      <w:rPr>
        <w:rStyle w:val="15"/>
        <w:rFonts w:ascii="宋体" w:hAnsi="宋体"/>
        <w:szCs w:val="20"/>
      </w:rPr>
      <w:t>2-1-</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089FC">
    <w:pPr>
      <w:pStyle w:val="8"/>
      <w:tabs>
        <w:tab w:val="right" w:pos="8460"/>
        <w:tab w:val="clear" w:pos="8306"/>
      </w:tabs>
      <w:ind w:right="-89" w:firstLine="420"/>
      <w:jc w:val="center"/>
      <w:rPr>
        <w:rFonts w:ascii="宋体" w:hAnsi="宋体"/>
      </w:rPr>
    </w:pPr>
    <w:r>
      <w:rPr>
        <w:rFonts w:ascii="宋体" w:hAnsi="宋体"/>
        <w:szCs w:val="20"/>
      </w:rPr>
      <w:t>3-</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13</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158D8">
    <w:pPr>
      <w:pStyle w:val="8"/>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13</w:t>
    </w:r>
    <w:r>
      <w:rPr>
        <w:rFonts w:ascii="宋体" w:hAnsi="宋体"/>
        <w:szCs w:val="20"/>
      </w:rPr>
      <w:fldChar w:fldCharType="end"/>
    </w:r>
    <w:r>
      <w:rPr>
        <w:rFonts w:ascii="宋体" w:hAnsi="宋体"/>
        <w:szCs w:val="20"/>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05385">
    <w:pPr>
      <w:pStyle w:val="8"/>
      <w:tabs>
        <w:tab w:val="right" w:pos="8460"/>
        <w:tab w:val="clear" w:pos="8306"/>
      </w:tabs>
      <w:ind w:right="-89" w:firstLine="420"/>
      <w:jc w:val="center"/>
      <w:rPr>
        <w:rFonts w:ascii="宋体" w:hAnsi="宋体"/>
      </w:rPr>
    </w:pP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8</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0169A">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9A55E">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A6381">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D"/>
    <w:multiLevelType w:val="multilevel"/>
    <w:tmpl w:val="0000000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4404C848"/>
    <w:multiLevelType w:val="singleLevel"/>
    <w:tmpl w:val="4404C848"/>
    <w:lvl w:ilvl="0" w:tentative="0">
      <w:start w:val="2"/>
      <w:numFmt w:val="decimal"/>
      <w:suff w:val="nothing"/>
      <w:lvlText w:val="%1、"/>
      <w:lvlJc w:val="left"/>
    </w:lvl>
  </w:abstractNum>
  <w:abstractNum w:abstractNumId="4">
    <w:nsid w:val="4409BA3F"/>
    <w:multiLevelType w:val="singleLevel"/>
    <w:tmpl w:val="4409BA3F"/>
    <w:lvl w:ilvl="0" w:tentative="0">
      <w:start w:val="11"/>
      <w:numFmt w:val="decimal"/>
      <w:suff w:val="nothing"/>
      <w:lvlText w:val="%1、"/>
      <w:lvlJc w:val="left"/>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YWIzMDI0MWMzODgzNmNiNWE5OTZlNjc0MGJhNDgifQ=="/>
  </w:docVars>
  <w:rsids>
    <w:rsidRoot w:val="00000000"/>
    <w:rsid w:val="19E758A8"/>
    <w:rsid w:val="465423C0"/>
    <w:rsid w:val="50C56658"/>
    <w:rsid w:val="529B480F"/>
    <w:rsid w:val="70583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sz w:val="21"/>
      <w:szCs w:val="24"/>
    </w:rPr>
  </w:style>
  <w:style w:type="paragraph" w:styleId="3">
    <w:name w:val="Body Text"/>
    <w:basedOn w:val="1"/>
    <w:next w:val="1"/>
    <w:qFormat/>
    <w:uiPriority w:val="0"/>
    <w:pPr>
      <w:jc w:val="center"/>
    </w:pPr>
    <w:rPr>
      <w:rFonts w:ascii="幼圆" w:hAnsi="新宋体" w:eastAsia="幼圆"/>
      <w:b/>
      <w:bCs/>
      <w:sz w:val="84"/>
      <w:szCs w:val="20"/>
    </w:rPr>
  </w:style>
  <w:style w:type="paragraph" w:styleId="4">
    <w:name w:val="Normal Indent"/>
    <w:basedOn w:val="1"/>
    <w:qFormat/>
    <w:uiPriority w:val="0"/>
    <w:pPr>
      <w:ind w:firstLine="420"/>
    </w:pPr>
    <w:rPr>
      <w:szCs w:val="20"/>
    </w:rPr>
  </w:style>
  <w:style w:type="paragraph" w:styleId="5">
    <w:name w:val="Body Text Indent"/>
    <w:basedOn w:val="1"/>
    <w:next w:val="1"/>
    <w:qFormat/>
    <w:uiPriority w:val="0"/>
    <w:pPr>
      <w:ind w:left="420" w:leftChars="200"/>
    </w:p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spacing w:after="120" w:line="480" w:lineRule="auto"/>
      <w:ind w:left="420"/>
    </w:pPr>
    <w:rPr>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0"/>
    <w:pPr>
      <w:widowControl/>
      <w:spacing w:before="100" w:beforeAutospacing="1" w:after="100" w:afterAutospacing="1"/>
      <w:jc w:val="left"/>
    </w:pPr>
    <w:rPr>
      <w:rFonts w:ascii="宋体" w:hAnsi="宋体" w:cs="宋体"/>
      <w:color w:val="000000"/>
      <w:kern w:val="0"/>
      <w:sz w:val="24"/>
      <w:szCs w:val="24"/>
    </w:rPr>
  </w:style>
  <w:style w:type="paragraph" w:styleId="11">
    <w:name w:val="Body Text First Indent 2"/>
    <w:basedOn w:val="5"/>
    <w:next w:val="1"/>
    <w:qFormat/>
    <w:uiPriority w:val="0"/>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paragraph" w:customStyle="1" w:styleId="1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17">
    <w:name w:val="font51"/>
    <w:basedOn w:val="14"/>
    <w:qFormat/>
    <w:uiPriority w:val="0"/>
    <w:rPr>
      <w:rFonts w:hint="eastAsia" w:ascii="宋体" w:hAnsi="宋体" w:eastAsia="宋体" w:cs="宋体"/>
      <w:color w:val="000000"/>
      <w:sz w:val="18"/>
      <w:szCs w:val="18"/>
      <w:u w:val="none"/>
    </w:rPr>
  </w:style>
  <w:style w:type="character" w:customStyle="1" w:styleId="18">
    <w:name w:val="font31"/>
    <w:basedOn w:val="14"/>
    <w:qFormat/>
    <w:uiPriority w:val="0"/>
    <w:rPr>
      <w:rFonts w:hint="eastAsia" w:ascii="宋体" w:hAnsi="宋体" w:eastAsia="宋体" w:cs="宋体"/>
      <w:color w:val="000000"/>
      <w:sz w:val="20"/>
      <w:szCs w:val="20"/>
      <w:u w:val="none"/>
    </w:rPr>
  </w:style>
  <w:style w:type="character" w:customStyle="1" w:styleId="19">
    <w:name w:val="font21"/>
    <w:basedOn w:val="14"/>
    <w:qFormat/>
    <w:uiPriority w:val="0"/>
    <w:rPr>
      <w:rFonts w:hint="eastAsia" w:ascii="宋体" w:hAnsi="宋体" w:eastAsia="宋体" w:cs="宋体"/>
      <w:color w:val="000000"/>
      <w:sz w:val="20"/>
      <w:szCs w:val="20"/>
      <w:u w:val="none"/>
    </w:rPr>
  </w:style>
  <w:style w:type="character" w:customStyle="1" w:styleId="20">
    <w:name w:val="font11"/>
    <w:basedOn w:val="1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73</Pages>
  <Words>44095</Words>
  <Characters>46597</Characters>
  <Lines>0</Lines>
  <Paragraphs>0</Paragraphs>
  <TotalTime>32</TotalTime>
  <ScaleCrop>false</ScaleCrop>
  <LinksUpToDate>false</LinksUpToDate>
  <CharactersWithSpaces>47287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2024-08-22T07:09:00Z</dcterms:created>
  <dc:creator>Dell</dc:creator>
  <cp:lastModifiedBy>Dell</cp:lastModifiedBy>
  <dcterms:modified xsi:type="dcterms:W3CDTF">2024-08-22T07:47:58Z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A7557DA11AD44942BD4CF4E6606C5E70_12</vt:lpwstr>
  </property>
</Properties>
</file>